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Target="docProps/core.xml" Type="http://schemas.openxmlformats.org/package/2006/relationships/metadata/core-properties" Id="rId1"></Relationship><Relationship Target="docProps/app.xml" Type="http://schemas.openxmlformats.org/officeDocument/2006/relationships/extended-properties" Id="rId2"></Relationship><Relationship Target="docProps/custom.xml" Type="http://schemas.openxmlformats.org/officeDocument/2006/relationships/custom-properties" Id="rId3"></Relationship><Relationship Target="word/document.xml" Type="http://schemas.openxmlformats.org/officeDocument/2006/relationships/officeDocument"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Style w:val="Body"/>
        <w:spacing w:before="0" w:after="0" w:line="240" w:lineRule="auto"/>
        <w:jc w:val="left"/>
        <w:rPr/>
      </w:pPr>
      <w:r>
        <w:rPr/>
        <w:drawing>
          <wp:anchor distT="152400" distB="152400" distL="152400" distR="152400" simplePos="false" relativeHeight="2" behindDoc="true" locked="false" layoutInCell="false" allowOverlap="true">
            <wp:simplePos x="0" y="0"/>
            <wp:positionH relativeFrom="page">
              <wp:posOffset>511810</wp:posOffset>
            </wp:positionH>
            <wp:positionV relativeFrom="page">
              <wp:posOffset>0</wp:posOffset>
            </wp:positionV>
            <wp:extent cx="1634490" cy="727710"/>
            <wp:effectExtent l="0" t="0" r="0" b="0"/>
            <wp:wrapTopAndBottom/>
            <wp:docPr id="1" name="officeArt object" descr="Image"/>
            <wp:cNvGraphicFramePr>
              <a:graphicFrameLocks noChangeAspect="true"/>
            </wp:cNvGraphicFramePr>
            <a:graphic>
              <a:graphicData uri="http://schemas.openxmlformats.org/drawingml/2006/picture">
                <pic:pic>
                  <pic:nvPicPr>
                    <pic:cNvPr id="1" name="officeArt object" descr="Image"/>
                    <pic:cNvPicPr>
                      <a:picLocks noChangeAspect="true" noChangeArrowheads="true"/>
                    </pic:cNvPicPr>
                  </pic:nvPicPr>
                  <pic:blipFill>
                    <a:blip r:embed="rId2"/>
                    <a:stretch>
                      <a:fillRect/>
                    </a:stretch>
                  </pic:blipFill>
                  <pic:spPr bwMode="auto">
                    <a:xfrm>
                      <a:off x="0" y="0"/>
                      <a:ext cx="1634490" cy="727710"/>
                    </a:xfrm>
                    <a:prstGeom prst="rect">
                      <a:avLst/>
                    </a:prstGeom>
                  </pic:spPr>
                </pic:pic>
              </a:graphicData>
            </a:graphic>
          </wp:anchor>
        </w:drawing>
      </w:r>
    </w:p>
    <w:p>
      <w:pPr>
        <w:spacing w:before="0" w:after="0"/>
      </w:pPr>
      <w:r>
        <w:rPr>
          <w:b w:val="true"/>
          <w:sz w:val="36"/>
          <w:u w:val="single"/>
        </w:rPr>
        <w:t>Upcoming Subcommittees</w:t>
      </w:r>
    </w:p>
    <w:p>
      <w:r>
        <w:rPr>
          <w:sz w:val="36"/>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880"/>
        <w:gridCol w:w="10080"/>
        <w:gridCol w:w="1440"/>
      </w:tblGrid>
      <w:tr>
        <w:trPr>
          <w:tblHeader w:val="true"/>
          <w:cantSplit w:val="true"/>
        </w:trPr>
        <w:tc>
          <w:tcPr>
            <w:tcW w:w="2880" w:type="dxa"/>
            <w:shd w:val="clear" w:color="auto" w:fill="8EB4E0"/>
          </w:tcPr>
          <w:p>
            <w:pPr>
              <w:jc w:val="left"/>
            </w:pPr>
            <w:r>
              <w:rPr>
                <w:b w:val="true"/>
                <w:sz w:val="22"/>
              </w:rPr>
              <w:t>TIME</w:t>
            </w:r>
          </w:p>
        </w:tc>
        <w:tc>
          <w:tcPr>
            <w:tcW w:type="right"/>
            <w:shd w:val="clear" w:color="auto" w:fill="8EB4E0"/>
          </w:tcPr>
          <w:p>
            <w:pPr>
              <w:jc w:val="left"/>
            </w:pPr>
            <w:r>
              <w:rPr>
                <w:b w:val="true"/>
                <w:sz w:val="22"/>
              </w:rPr>
              <w:t>INFO</w:t>
            </w:r>
          </w:p>
        </w:tc>
        <w:tc>
          <w:tcPr>
            <w:tcW w:type="right"/>
            <w:shd w:val="clear" w:color="auto" w:fill="8EB4E0"/>
          </w:tcPr>
          <w:p>
            <w:pPr>
              <w:jc w:val="left"/>
            </w:pPr>
            <w:r>
              <w:rPr>
                <w:b w:val="true"/>
                <w:sz w:val="22"/>
              </w:rPr>
              <w:t>POSITION</w:t>
            </w:r>
          </w:p>
        </w:tc>
      </w:tr>
      <w:tr>
        <w:trPr>
          <w:tblHeader w:val="true"/>
          <w:cantSplit w:val="true"/>
        </w:trPr>
        <w:tc>
          <w:tcPr>
            <w:tcW w:w="2880" w:type="dxa"/>
            <w:noWrap w:val="false"/>
          </w:tcPr>
          <w:p>
            <w:r>
              <w:rPr>
                <w:sz w:val="20"/>
              </w:rPr>
              <w:t>Mon 2/20 12:00</w:t>
            </w:r>
          </w:p>
        </w:tc>
        <w:tc>
          <w:tcPr>
            <w:tcW w:w="10080" w:type="dxa"/>
            <w:noWrap w:val="false"/>
          </w:tcPr>
          <w:p>
            <w:r>
              <w:rPr>
                <w:sz w:val="20"/>
              </w:rPr>
              <w:t>HSB 126 - A bill for an act relating to the organization, structure, and functions of state government, providing for salaries of appointed state officers, providing for penalties, making appropriations, providing Code editor directives and transition provisions, and including applicability and effective date provisions.</w:t>
            </w:r>
          </w:p>
        </w:tc>
        <w:tc>
          <w:tcPr>
            <w:tcW w:w="1440" w:type="dxa"/>
            <w:noWrap w:val="false"/>
          </w:tcPr>
          <w:p>
            <w:r>
              <w:rPr>
                <w:sz w:val="20"/>
              </w:rPr>
              <w:t>Monitor/Undecided</w:t>
            </w:r>
          </w:p>
        </w:tc>
      </w:tr>
      <w:tr>
        <w:trPr>
          <w:tblHeader w:val="true"/>
          <w:cantSplit w:val="true"/>
        </w:trPr>
        <w:tc>
          <w:tcPr>
            <w:tcW w:w="2880" w:type="dxa"/>
            <w:noWrap w:val="false"/>
          </w:tcPr>
          <w:p>
            <w:r>
              <w:rPr>
                <w:sz w:val="20"/>
              </w:rPr>
              <w:t>Tue 2/21 12:00</w:t>
            </w:r>
          </w:p>
        </w:tc>
        <w:tc>
          <w:tcPr>
            <w:tcW w:w="10080" w:type="dxa"/>
            <w:noWrap w:val="false"/>
          </w:tcPr>
          <w:p>
            <w:r>
              <w:rPr>
                <w:sz w:val="20"/>
              </w:rPr>
              <w:t>HSB 126 - A bill for an act relating to the organization, structure, and functions of state government, providing for salaries of appointed state officers, providing for penalties, making appropriations, providing Code editor directives and transition provisions, and including applicability and effective date provisions.</w:t>
            </w:r>
          </w:p>
        </w:tc>
        <w:tc>
          <w:tcPr>
            <w:tcW w:w="1440" w:type="dxa"/>
            <w:noWrap w:val="false"/>
          </w:tcPr>
          <w:p>
            <w:r>
              <w:rPr>
                <w:sz w:val="20"/>
              </w:rPr>
              <w:t>Monitor/Undecided</w:t>
            </w:r>
          </w:p>
        </w:tc>
      </w:tr>
      <w:tr>
        <w:trPr>
          <w:tblHeader w:val="true"/>
          <w:cantSplit w:val="true"/>
        </w:trPr>
        <w:tc>
          <w:tcPr>
            <w:tcW w:w="2880" w:type="dxa"/>
            <w:noWrap w:val="false"/>
          </w:tcPr>
          <w:p>
            <w:r>
              <w:rPr>
                <w:sz w:val="20"/>
              </w:rPr>
              <w:t>Wed 2/22 12:00</w:t>
            </w:r>
          </w:p>
        </w:tc>
        <w:tc>
          <w:tcPr>
            <w:tcW w:w="10080" w:type="dxa"/>
            <w:noWrap w:val="false"/>
          </w:tcPr>
          <w:p>
            <w:r>
              <w:rPr>
                <w:sz w:val="20"/>
              </w:rPr>
              <w:t>HSB 126 - A bill for an act relating to the organization, structure, and functions of state government, providing for salaries of appointed state officers, providing for penalties, making appropriations, providing Code editor directives and transition provisions, and including applicability and effective date provisions.</w:t>
            </w:r>
          </w:p>
        </w:tc>
        <w:tc>
          <w:tcPr>
            <w:tcW w:w="1440" w:type="dxa"/>
            <w:noWrap w:val="false"/>
          </w:tcPr>
          <w:p>
            <w:r>
              <w:rPr>
                <w:sz w:val="20"/>
              </w:rPr>
              <w:t>Monitor/Undecided</w:t>
            </w:r>
          </w:p>
        </w:tc>
      </w:tr>
      <w:tr>
        <w:trPr>
          <w:tblHeader w:val="true"/>
          <w:cantSplit w:val="true"/>
        </w:trPr>
        <w:tc>
          <w:tcPr>
            <w:tcW w:w="2880" w:type="dxa"/>
            <w:noWrap w:val="false"/>
          </w:tcPr>
          <w:p>
            <w:r>
              <w:rPr>
                <w:sz w:val="20"/>
              </w:rPr>
              <w:t>Thu 2/23 12:00</w:t>
            </w:r>
          </w:p>
        </w:tc>
        <w:tc>
          <w:tcPr>
            <w:tcW w:w="10080" w:type="dxa"/>
            <w:noWrap w:val="false"/>
          </w:tcPr>
          <w:p>
            <w:r>
              <w:rPr>
                <w:sz w:val="20"/>
              </w:rPr>
              <w:t>HSB 126 - A bill for an act relating to the organization, structure, and functions of state government, providing for salaries of appointed state officers, providing for penalties, making appropriations, providing Code editor directives and transition provisions, and including applicability and effective date provisions.</w:t>
            </w:r>
          </w:p>
        </w:tc>
        <w:tc>
          <w:tcPr>
            <w:tcW w:w="1440" w:type="dxa"/>
            <w:noWrap w:val="false"/>
          </w:tcPr>
          <w:p>
            <w:r>
              <w:rPr>
                <w:sz w:val="20"/>
              </w:rPr>
              <w:t>Monitor/Undecided</w:t>
            </w:r>
          </w:p>
        </w:tc>
      </w:tr>
    </w:tbl>
    <w:p>
      <w:r>
        <w:rPr>
          <w:sz w:val="24"/>
        </w:rPr>
        <w:t/>
      </w:r>
    </w:p>
    <w:p>
      <w:pPr>
        <w:spacing w:before="0" w:after="0"/>
      </w:pPr>
      <w:r>
        <w:rPr>
          <w:b w:val="true"/>
          <w:sz w:val="36"/>
          <w:u w:val="single"/>
        </w:rPr>
        <w:t>Recent Legislative Action</w:t>
      </w:r>
    </w:p>
    <w:p>
      <w:r>
        <w:rPr>
          <w:sz w:val="36"/>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8">
              <w:r>
                <w:rPr>
                  <w:rStyle w:val="Hyperlink"/>
                </w:rPr>
                <w:t xml:space="preserve">HSB 126</w:t>
              </w:r>
            </w:hyperlink>
          </w:p>
        </w:tc>
        <w:tc>
          <w:tcPr>
            <w:tcW w:w="3600" w:type="dxa"/>
            <w:noWrap w:val="false"/>
          </w:tcPr>
          <w:p>
            <w:r>
              <w:rPr>
                <w:sz w:val="20"/>
              </w:rPr>
              <w:t>A bill for an act relating to the organization, structure, and functions of state government, providing for salaries of appointed state officers, providing for penalties, making appropriations, providing Code editor directives and transition provisions, and including applicability and effective date provisions.</w:t>
            </w:r>
          </w:p>
        </w:tc>
        <w:tc>
          <w:tcPr>
            <w:tcW w:w="4320" w:type="dxa"/>
            <w:shd w:val="clear" w:color="auto" w:fill="FFFF66" w:themeFillTint="30"/>
            <w:noWrap w:val="false"/>
          </w:tcPr>
          <w:p>
            <w:r>
              <w:rPr>
                <w:sz w:val="20"/>
              </w:rPr>
              <w:t>Subcommittee Meeting: 02/23/2023 12:00PM RM 103, Sup. Ct. Chamber. (2/16/23)</w:t>
            </w:r>
          </w:p>
        </w:tc>
        <w:tc>
          <w:tcPr>
            <w:tcW w:w="4320" w:type="dxa"/>
            <w:noWrap w:val="false"/>
          </w:tcPr>
          <w:p>
            <w:pPr>
              <w:spacing w:before="0" w:after="0"/>
            </w:pPr>
            <w:r>
              <w:t>Monitor/Undecided</w:t>
            </w:r>
          </w:p>
          <w:p>
            <w:pPr>
              <w:spacing w:before="0" w:after="0"/>
            </w:pPr>
            <w:r>
              <w:t>The House plans to hold 4 subcommittee meetings on HSB 126, the Governor's nearly 1,700-page government reorganization bill, the week of Feb. 20th during the noon hour each day. They will cover different divisions of the bill each day. To see the specific agenda for each day, select the day and time at the following link which will also have details to view the meetings: https://www.legis.iowa.gov/committees/meetings/meetingsListChamber?chamber=H&amp;reqType=I%2C&amp;bDate=02%2F17%2F2023&amp;eDate=02%2F17%2F2023&amp;chamberID=H&amp;committeeTypeInterim=on</w:t>
            </w:r>
            <w:br/>
            <w:r>
              <w:t/>
            </w:r>
            <w:br/>
            <w:r>
              <w:t> </w:t>
            </w:r>
            <w:br/>
            <w:r>
              <w:t/>
            </w:r>
            <w:br/>
            <w:r>
              <w:t> </w:t>
            </w:r>
          </w:p>
          <w:p>
            <w:pPr>
              <w:spacing w:before="0" w:after="0"/>
            </w:pPr>
            <w:r>
              <w:t/>
            </w:r>
          </w:p>
        </w:tc>
      </w:tr>
      <w:tr>
        <w:trPr>
          <w:cantSplit w:val="true"/>
        </w:trPr>
        <w:tc>
          <w:tcPr>
            <w:tcW w:w="2160" w:type="dxa"/>
            <w:noWrap w:val="false"/>
          </w:tcPr>
          <w:p>
            <w:hyperlink r:id="rId9">
              <w:r>
                <w:rPr>
                  <w:rStyle w:val="Hyperlink"/>
                </w:rPr>
                <w:t xml:space="preserve">SF 318</w:t>
              </w:r>
            </w:hyperlink>
          </w:p>
        </w:tc>
        <w:tc>
          <w:tcPr>
            <w:tcW w:w="3600" w:type="dxa"/>
            <w:noWrap w:val="false"/>
          </w:tcPr>
          <w:p>
            <w:r>
              <w:rPr>
                <w:sz w:val="20"/>
              </w:rPr>
              <w:t>A bill for an act relating to apprenticeships and establishing an Iowa office of apprenticeship and Iowa apprenticeship council.(Formerly SSB 1086.)</w:t>
            </w:r>
          </w:p>
        </w:tc>
        <w:tc>
          <w:tcPr>
            <w:tcW w:w="4320" w:type="dxa"/>
            <w:shd w:val="clear" w:color="auto" w:fill="FFFF66" w:themeFillTint="30"/>
            <w:noWrap w:val="false"/>
          </w:tcPr>
          <w:p>
            <w:r>
              <w:rPr>
                <w:sz w:val="20"/>
              </w:rPr>
              <w:t>Committee report, approving bill. (2/16/23)</w:t>
            </w:r>
          </w:p>
        </w:tc>
        <w:tc>
          <w:tcPr>
            <w:tcW w:w="4320" w:type="dxa"/>
            <w:noWrap w:val="false"/>
          </w:tcPr>
          <w:p>
            <w:pPr>
              <w:spacing w:before="0" w:after="0"/>
            </w:pPr>
            <w:r>
              <w:t/>
            </w:r>
          </w:p>
        </w:tc>
      </w:tr>
      <w:tr>
        <w:trPr>
          <w:cantSplit w:val="true"/>
        </w:trPr>
        <w:tc>
          <w:tcPr>
            <w:tcW w:w="2160" w:type="dxa"/>
            <w:noWrap w:val="false"/>
          </w:tcPr>
          <w:p>
            <w:hyperlink r:id="rId10">
              <w:r>
                <w:rPr>
                  <w:rStyle w:val="Hyperlink"/>
                </w:rPr>
                <w:t xml:space="preserve">SSB 1086</w:t>
              </w:r>
            </w:hyperlink>
          </w:p>
          <w:p>
            <w:hyperlink r:id="rId11">
              <w:r>
                <w:rPr>
                  <w:rStyle w:val="Hyperlink"/>
                </w:rPr>
                <w:t xml:space="preserve">S:SF 318</w:t>
              </w:r>
            </w:hyperlink>
          </w:p>
        </w:tc>
        <w:tc>
          <w:tcPr>
            <w:tcW w:w="3600" w:type="dxa"/>
            <w:noWrap w:val="false"/>
          </w:tcPr>
          <w:p>
            <w:r>
              <w:rPr>
                <w:sz w:val="20"/>
              </w:rPr>
              <w:t>A bill for an act relating to apprenticeships and establishing an Iowa office of apprenticeship and Iowa apprenticeship council.(See SF 318.)</w:t>
            </w:r>
          </w:p>
        </w:tc>
        <w:tc>
          <w:tcPr>
            <w:tcW w:w="4320" w:type="dxa"/>
            <w:shd w:val="clear" w:color="auto" w:fill="FFFF66" w:themeFillTint="30"/>
            <w:noWrap w:val="false"/>
          </w:tcPr>
          <w:p>
            <w:r>
              <w:rPr>
                <w:sz w:val="20"/>
              </w:rPr>
              <w:t>Committee report approving bill, renumbered as SF 318. (2/16/23)</w:t>
            </w:r>
          </w:p>
        </w:tc>
        <w:tc>
          <w:tcPr>
            <w:tcW w:w="4320" w:type="dxa"/>
            <w:noWrap w:val="false"/>
          </w:tcPr>
          <w:p>
            <w:pPr>
              <w:spacing w:before="0" w:after="0"/>
            </w:pPr>
            <w:r>
              <w:t>Monitor/Undecided</w:t>
            </w:r>
          </w:p>
          <w:p>
            <w:pPr>
              <w:spacing w:before="0" w:after="0"/>
            </w:pPr>
            <w:r>
              <w:t>Building trades all expressed their continued work on an amendment with the Governor's office and awaiting their response.</w:t>
            </w:r>
          </w:p>
          <w:p>
            <w:pPr>
              <w:spacing w:before="0" w:after="0"/>
            </w:pPr>
            <w:r>
              <w:t/>
            </w:r>
          </w:p>
        </w:tc>
      </w:tr>
      <w:tr>
        <w:trPr>
          <w:cantSplit w:val="true"/>
        </w:trPr>
        <w:tc>
          <w:tcPr>
            <w:tcW w:w="2160" w:type="dxa"/>
            <w:noWrap w:val="false"/>
          </w:tcPr>
          <w:p>
            <w:hyperlink r:id="rId12">
              <w:r>
                <w:rPr>
                  <w:rStyle w:val="Hyperlink"/>
                </w:rPr>
                <w:t xml:space="preserve">SSB 1108</w:t>
              </w:r>
            </w:hyperlink>
          </w:p>
        </w:tc>
        <w:tc>
          <w:tcPr>
            <w:tcW w:w="3600" w:type="dxa"/>
            <w:noWrap w:val="false"/>
          </w:tcPr>
          <w:p>
            <w:r>
              <w:rPr>
                <w:sz w:val="20"/>
              </w:rPr>
              <w:t>A bill for an act relating to the practice of barbering and cosmetology arts and sciences and providing transition provisions.</w:t>
            </w:r>
          </w:p>
        </w:tc>
        <w:tc>
          <w:tcPr>
            <w:tcW w:w="4320" w:type="dxa"/>
            <w:shd w:val="clear" w:color="auto" w:fill="FFFF66" w:themeFillTint="30"/>
            <w:noWrap w:val="false"/>
          </w:tcPr>
          <w:p>
            <w:r>
              <w:rPr>
                <w:sz w:val="20"/>
              </w:rPr>
              <w:t>Subcommittee recommends passage. []. (2/15/23)</w:t>
            </w:r>
          </w:p>
        </w:tc>
        <w:tc>
          <w:tcPr>
            <w:tcW w:w="4320" w:type="dxa"/>
            <w:noWrap w:val="false"/>
          </w:tcPr>
          <w:p>
            <w:pPr>
              <w:spacing w:before="0" w:after="0"/>
            </w:pPr>
            <w:r>
              <w:t>Support/For</w:t>
            </w:r>
          </w:p>
        </w:tc>
      </w:tr>
    </w:tbl>
    <w:p>
      <w:r>
        <w:rPr>
          <w:sz w:val="24"/>
        </w:rPr>
        <w:t/>
      </w:r>
    </w:p>
    <w:p>
      <w:pPr>
        <w:spacing w:before="0" w:after="0"/>
      </w:pPr>
      <w:r>
        <w:rPr>
          <w:b w:val="true"/>
          <w:sz w:val="36"/>
          <w:u w:val="single"/>
        </w:rPr>
        <w:t>Other Client Activities</w:t>
      </w:r>
    </w:p>
    <w:p>
      <w:r>
        <w:rPr>
          <w:sz w:val="36"/>
        </w:rPr>
        <w:t/>
      </w:r>
    </w:p>
    <w:p>
      <w:r>
        <w:rPr>
          <w:sz w:val="28"/>
        </w:rPr>
        <w:t>Justin and Andrew came to the capitol on Wed. for meetings with Reps. Windschilt and Bloomingdale. Windschitl said we armed him with the information he needed to take care of the 1000 hr bill in his caucus.  Bloomingdale agreed to request a companion study bill (to SSB1108) in the House to give them a new piece of legislation to discuss in their caucus and keep the bill from moving forward. </w:t>
      </w:r>
    </w:p>
    <w:p>
      <w:r>
        <w:rPr>
          <w:sz w:val="28"/>
        </w:rPr>
        <w:t/>
      </w:r>
    </w:p>
    <w:p>
      <w:r>
        <w:rPr>
          <w:sz w:val="28"/>
        </w:rPr>
        <w:t>The Senate subcommittee was well attended. In addition to ICSA, LaJames International (Cindy and Travis) and Americans for Prosperity were there and national chain salons had regional managers on virtually advocating for further reduction in hours.  The bill was passed out of subcommittee and we understand it will move out of committee on Wednesday.  </w:t>
      </w:r>
    </w:p>
    <w:p>
      <w:r>
        <w:rPr>
          <w:sz w:val="28"/>
        </w:rPr>
        <w:t/>
      </w:r>
    </w:p>
    <w:p>
      <w:r>
        <w:rPr>
          <w:sz w:val="28"/>
        </w:rPr>
        <w:t>AS worked to prepare an online petition opposing the 1000 hr bill. Continue to distribute the petition and ask others to sign it. </w:t>
      </w:r>
    </w:p>
    <w:p>
      <w:r>
        <w:rPr>
          <w:sz w:val="24"/>
        </w:rPr>
        <w:t/>
      </w:r>
    </w:p>
    <w:p>
      <w:pPr>
        <w:spacing w:before="0" w:after="0"/>
      </w:pPr>
      <w:r>
        <w:rPr>
          <w:b w:val="true"/>
          <w:sz w:val="36"/>
          <w:u w:val="single"/>
        </w:rPr>
        <w:t>Alive Bills</w:t>
      </w:r>
    </w:p>
    <w:p>
      <w:r>
        <w:rPr>
          <w:sz w:val="36"/>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3">
              <w:r>
                <w:rPr>
                  <w:rStyle w:val="Hyperlink"/>
                </w:rPr>
                <w:t xml:space="preserve">HF 31</w:t>
              </w:r>
            </w:hyperlink>
          </w:p>
        </w:tc>
        <w:tc>
          <w:tcPr>
            <w:tcW w:w="3600" w:type="dxa"/>
            <w:noWrap w:val="false"/>
          </w:tcPr>
          <w:p>
            <w:r>
              <w:rPr>
                <w:sz w:val="20"/>
              </w:rPr>
              <w:t>A bill for an act prohibiting employers from entering into noncompete agreements with employees under specified circumstances, and including applicability provisions.</w:t>
            </w:r>
          </w:p>
        </w:tc>
        <w:tc>
          <w:tcPr>
            <w:tcW w:w="4320" w:type="dxa"/>
            <w:noWrap w:val="false"/>
          </w:tcPr>
          <w:p>
            <w:r>
              <w:rPr>
                <w:sz w:val="20"/>
              </w:rPr>
              <w:t>Introduced, referred to Labor and Workforce. (1/12/23)</w:t>
            </w:r>
          </w:p>
        </w:tc>
        <w:tc>
          <w:tcPr>
            <w:tcW w:w="4320" w:type="dxa"/>
            <w:noWrap w:val="false"/>
          </w:tcPr>
          <w:p>
            <w:pPr>
              <w:spacing w:before="0" w:after="0"/>
            </w:pPr>
            <w:r>
              <w:t>Monitor/Undecided</w:t>
            </w:r>
          </w:p>
        </w:tc>
      </w:tr>
      <w:tr>
        <w:trPr>
          <w:cantSplit w:val="true"/>
        </w:trPr>
        <w:tc>
          <w:tcPr>
            <w:tcW w:w="2160" w:type="dxa"/>
            <w:noWrap w:val="false"/>
          </w:tcPr>
          <w:p>
            <w:hyperlink r:id="rId14">
              <w:r>
                <w:rPr>
                  <w:rStyle w:val="Hyperlink"/>
                </w:rPr>
                <w:t xml:space="preserve">HF 137</w:t>
              </w:r>
            </w:hyperlink>
          </w:p>
          <w:p>
            <w:hyperlink r:id="rId15">
              <w:r>
                <w:rPr>
                  <w:rStyle w:val="Hyperlink"/>
                </w:rPr>
                <w:t xml:space="preserve">CO:SF 21</w:t>
              </w:r>
            </w:hyperlink>
          </w:p>
        </w:tc>
        <w:tc>
          <w:tcPr>
            <w:tcW w:w="3600" w:type="dxa"/>
            <w:noWrap w:val="false"/>
          </w:tcPr>
          <w:p>
            <w:r>
              <w:rPr>
                <w:sz w:val="20"/>
              </w:rPr>
              <w:t>A bill for an act relating to the practice of cosmetology and barbering in certain locations.(Formerly HSB 40.)</w:t>
            </w:r>
          </w:p>
        </w:tc>
        <w:tc>
          <w:tcPr>
            <w:tcW w:w="4320" w:type="dxa"/>
            <w:noWrap w:val="false"/>
          </w:tcPr>
          <w:p>
            <w:r>
              <w:rPr>
                <w:sz w:val="20"/>
              </w:rPr>
              <w:t>Read first time, attached to SF 21 . (2/2/23)</w:t>
            </w:r>
          </w:p>
        </w:tc>
        <w:tc>
          <w:tcPr>
            <w:tcW w:w="4320" w:type="dxa"/>
            <w:noWrap w:val="false"/>
          </w:tcPr>
          <w:p>
            <w:pPr>
              <w:spacing w:before="0" w:after="0"/>
            </w:pPr>
            <w:r>
              <w:t>Monitor/Undecided</w:t>
            </w:r>
          </w:p>
        </w:tc>
      </w:tr>
      <w:tr>
        <w:trPr>
          <w:cantSplit w:val="true"/>
        </w:trPr>
        <w:tc>
          <w:tcPr>
            <w:tcW w:w="2160" w:type="dxa"/>
            <w:noWrap w:val="false"/>
          </w:tcPr>
          <w:p>
            <w:hyperlink r:id="rId16">
              <w:r>
                <w:rPr>
                  <w:rStyle w:val="Hyperlink"/>
                </w:rPr>
                <w:t xml:space="preserve">HF 254</w:t>
              </w:r>
            </w:hyperlink>
          </w:p>
        </w:tc>
        <w:tc>
          <w:tcPr>
            <w:tcW w:w="3600" w:type="dxa"/>
            <w:noWrap w:val="false"/>
          </w:tcPr>
          <w:p>
            <w:r>
              <w:rPr>
                <w:sz w:val="20"/>
              </w:rPr>
              <w:t>A bill for an act relating to the study of cosmetology.(Formerly HSB 90.)</w:t>
            </w:r>
          </w:p>
        </w:tc>
        <w:tc>
          <w:tcPr>
            <w:tcW w:w="4320" w:type="dxa"/>
            <w:noWrap w:val="false"/>
          </w:tcPr>
          <w:p>
            <w:r>
              <w:rPr>
                <w:sz w:val="20"/>
              </w:rPr>
              <w:t>Introduced, placed on calendar. (2/9/23)</w:t>
            </w:r>
          </w:p>
        </w:tc>
        <w:tc>
          <w:tcPr>
            <w:tcW w:w="4320" w:type="dxa"/>
            <w:noWrap w:val="false"/>
          </w:tcPr>
          <w:p>
            <w:pPr>
              <w:spacing w:before="0" w:after="0"/>
            </w:pPr>
            <w:r>
              <w:t>Oppose/Against</w:t>
            </w:r>
          </w:p>
        </w:tc>
      </w:tr>
      <w:tr>
        <w:trPr>
          <w:cantSplit w:val="true"/>
        </w:trPr>
        <w:tc>
          <w:tcPr>
            <w:tcW w:w="2160" w:type="dxa"/>
            <w:noWrap w:val="false"/>
          </w:tcPr>
          <w:p>
            <w:hyperlink r:id="rId17">
              <w:r>
                <w:rPr>
                  <w:rStyle w:val="Hyperlink"/>
                </w:rPr>
                <w:t xml:space="preserve">HF 293</w:t>
              </w:r>
            </w:hyperlink>
          </w:p>
        </w:tc>
        <w:tc>
          <w:tcPr>
            <w:tcW w:w="3600" w:type="dxa"/>
            <w:noWrap w:val="false"/>
          </w:tcPr>
          <w:p>
            <w:r>
              <w:rPr>
                <w:sz w:val="20"/>
              </w:rPr>
              <w:t>A bill for an act relating to programs offered by community colleges that duplicate existing programs provided by private educational institutions or vocational institutions offering a career and technical education program.</w:t>
            </w:r>
          </w:p>
        </w:tc>
        <w:tc>
          <w:tcPr>
            <w:tcW w:w="4320" w:type="dxa"/>
            <w:shd w:val="clear" w:color="auto" w:fill="FFFF66" w:themeFillTint="30"/>
            <w:noWrap w:val="false"/>
          </w:tcPr>
          <w:p>
            <w:r>
              <w:rPr>
                <w:sz w:val="20"/>
              </w:rPr>
              <w:t>Introduced, referred to Education. (2/15/23)</w:t>
            </w:r>
          </w:p>
        </w:tc>
        <w:tc>
          <w:tcPr>
            <w:tcW w:w="4320" w:type="dxa"/>
            <w:noWrap w:val="false"/>
          </w:tcPr>
          <w:p>
            <w:pPr>
              <w:spacing w:before="0" w:after="0"/>
            </w:pPr>
            <w:r>
              <w:t/>
            </w:r>
          </w:p>
        </w:tc>
      </w:tr>
      <w:tr>
        <w:trPr>
          <w:cantSplit w:val="true"/>
        </w:trPr>
        <w:tc>
          <w:tcPr>
            <w:tcW w:w="2160" w:type="dxa"/>
            <w:noWrap w:val="false"/>
          </w:tcPr>
          <w:p>
            <w:hyperlink r:id="rId18">
              <w:r>
                <w:rPr>
                  <w:rStyle w:val="Hyperlink"/>
                </w:rPr>
                <w:t xml:space="preserve">HSB 63</w:t>
              </w:r>
            </w:hyperlink>
          </w:p>
        </w:tc>
        <w:tc>
          <w:tcPr>
            <w:tcW w:w="3600" w:type="dxa"/>
            <w:noWrap w:val="false"/>
          </w:tcPr>
          <w:p>
            <w:r>
              <w:rPr>
                <w:sz w:val="20"/>
              </w:rPr>
              <w:t>A bill for an act creating the new resident and new graduate tax credits, available against the individual income tax, and including retroactive applicability provisions.</w:t>
            </w:r>
          </w:p>
        </w:tc>
        <w:tc>
          <w:tcPr>
            <w:tcW w:w="4320" w:type="dxa"/>
            <w:noWrap w:val="false"/>
          </w:tcPr>
          <w:p>
            <w:r>
              <w:rPr>
                <w:sz w:val="20"/>
              </w:rPr>
              <w:t>Subcommittee recommends amendment and passage. Vote Total: 2-1. (1/31/23)</w:t>
            </w:r>
          </w:p>
        </w:tc>
        <w:tc>
          <w:tcPr>
            <w:tcW w:w="4320" w:type="dxa"/>
            <w:noWrap w:val="false"/>
          </w:tcPr>
          <w:p>
            <w:pPr>
              <w:spacing w:before="0" w:after="0"/>
            </w:pPr>
            <w:r>
              <w:t>Monitor/Undecided</w:t>
            </w:r>
          </w:p>
          <w:p>
            <w:pPr>
              <w:spacing w:before="0" w:after="0"/>
            </w:pPr>
            <w:r>
              <w:t>HSB 63 would establish new tax credits focusing on retaining college graduates in the state and attracting new residents. The Chambers and Professional Developers of Iowa are largely in favor of the bill. Rep. Jones indicated an amendment was coming to work out some technical drafting issues as well as the auto-repeal language in the bill, but it was advanced in the process. </w:t>
            </w:r>
          </w:p>
          <w:p>
            <w:pPr>
              <w:spacing w:before="0" w:after="0"/>
            </w:pPr>
            <w:r>
              <w:t/>
            </w:r>
          </w:p>
        </w:tc>
      </w:tr>
      <w:tr>
        <w:trPr>
          <w:cantSplit w:val="true"/>
        </w:trPr>
        <w:tc>
          <w:tcPr>
            <w:tcW w:w="2160" w:type="dxa"/>
            <w:noWrap w:val="false"/>
          </w:tcPr>
          <w:p>
            <w:hyperlink r:id="rId19">
              <w:r>
                <w:rPr>
                  <w:rStyle w:val="Hyperlink"/>
                </w:rPr>
                <w:t xml:space="preserve">HSB 82</w:t>
              </w:r>
            </w:hyperlink>
          </w:p>
        </w:tc>
        <w:tc>
          <w:tcPr>
            <w:tcW w:w="3600" w:type="dxa"/>
            <w:noWrap w:val="false"/>
          </w:tcPr>
          <w:p>
            <w:r>
              <w:rPr>
                <w:sz w:val="20"/>
              </w:rPr>
              <w:t>A bill for an act relating to apprenticeships and establishing an Iowa office of apprenticeship and Iowa apprenticeship council.</w:t>
            </w:r>
          </w:p>
        </w:tc>
        <w:tc>
          <w:tcPr>
            <w:tcW w:w="4320" w:type="dxa"/>
            <w:noWrap w:val="false"/>
          </w:tcPr>
          <w:p>
            <w:r>
              <w:rPr>
                <w:sz w:val="20"/>
              </w:rPr>
              <w:t>Committee report, recommending amendment and passage. (2/7/23)</w:t>
            </w:r>
          </w:p>
        </w:tc>
        <w:tc>
          <w:tcPr>
            <w:tcW w:w="4320" w:type="dxa"/>
            <w:noWrap w:val="false"/>
          </w:tcPr>
          <w:p>
            <w:pPr>
              <w:spacing w:before="0" w:after="0"/>
            </w:pPr>
            <w:r>
              <w:t>Monitor/Undecided</w:t>
            </w:r>
          </w:p>
          <w:p>
            <w:pPr>
              <w:spacing w:before="0" w:after="0"/>
            </w:pPr>
            <w:r>
              <w:t>The Building Trades all expressed the concern the program could disrupt current apprenticeship programs but were committed to working with IWD and the Governor's office on amendment language. ABC spoke strongly in favor of the bill. </w:t>
            </w:r>
          </w:p>
          <w:p>
            <w:pPr>
              <w:spacing w:before="0" w:after="0"/>
            </w:pPr>
            <w:r>
              <w:t/>
            </w:r>
          </w:p>
        </w:tc>
      </w:tr>
      <w:tr>
        <w:trPr>
          <w:cantSplit w:val="true"/>
        </w:trPr>
        <w:tc>
          <w:tcPr>
            <w:tcW w:w="2160" w:type="dxa"/>
            <w:noWrap w:val="false"/>
          </w:tcPr>
          <w:p>
            <w:hyperlink r:id="rId20">
              <w:r>
                <w:rPr>
                  <w:rStyle w:val="Hyperlink"/>
                </w:rPr>
                <w:t xml:space="preserve">HSB 90</w:t>
              </w:r>
            </w:hyperlink>
          </w:p>
        </w:tc>
        <w:tc>
          <w:tcPr>
            <w:tcW w:w="3600" w:type="dxa"/>
            <w:noWrap w:val="false"/>
          </w:tcPr>
          <w:p>
            <w:r>
              <w:rPr>
                <w:sz w:val="20"/>
              </w:rPr>
              <w:t>A bill for an act relating to the study of cosmetology.</w:t>
            </w:r>
          </w:p>
        </w:tc>
        <w:tc>
          <w:tcPr>
            <w:tcW w:w="4320" w:type="dxa"/>
            <w:noWrap w:val="false"/>
          </w:tcPr>
          <w:p>
            <w:r>
              <w:rPr>
                <w:sz w:val="20"/>
              </w:rPr>
              <w:t>Committee report, recommending passage. (2/7/23)</w:t>
            </w:r>
          </w:p>
        </w:tc>
        <w:tc>
          <w:tcPr>
            <w:tcW w:w="4320" w:type="dxa"/>
            <w:noWrap w:val="false"/>
          </w:tcPr>
          <w:p>
            <w:pPr>
              <w:spacing w:before="0" w:after="0"/>
            </w:pPr>
            <w:r>
              <w:t>Oppose/Against</w:t>
            </w:r>
          </w:p>
          <w:p>
            <w:pPr>
              <w:spacing w:before="0" w:after="0"/>
            </w:pPr>
            <w:r>
              <w:t> </w:t>
            </w:r>
            <w:br/>
            <w:r>
              <w:t/>
            </w:r>
            <w:br/>
            <w:r>
              <w:t>2/3: The AS team met with members of the subcommittee before the meeting to explain our concerns with the bill, reducing hours from 2100 to 1000. They appeared receptive, but during the subcommittee the two republican members supported moving the bill forward, although with some reservation, indicating the bill would need to be amended.  We expect the bill to move to the full Education committee on Tuesday.  Please see the mobilization sent this morning and contact your area legislators as well as those on the Education Committee. </w:t>
            </w:r>
            <w:br/>
            <w:r>
              <w:t/>
            </w:r>
            <w:br/>
            <w:r>
              <w:t>The Senate bill was introduced this week as well and has a subcommittee of supportive members. We hope to see that scheduled this next week as well.  You will be able to participate in that subcommittee via zoom. </w:t>
            </w:r>
            <w:br/>
            <w:r>
              <w:t/>
            </w:r>
            <w:br/>
            <w:r>
              <w:t> </w:t>
            </w:r>
          </w:p>
          <w:p>
            <w:pPr>
              <w:spacing w:before="0" w:after="0"/>
            </w:pPr>
            <w:r>
              <w:t/>
            </w:r>
          </w:p>
        </w:tc>
      </w:tr>
      <w:tr>
        <w:trPr>
          <w:cantSplit w:val="true"/>
        </w:trPr>
        <w:tc>
          <w:tcPr>
            <w:tcW w:w="2160" w:type="dxa"/>
            <w:noWrap w:val="false"/>
          </w:tcPr>
          <w:p>
            <w:hyperlink r:id="rId21">
              <w:r>
                <w:rPr>
                  <w:rStyle w:val="Hyperlink"/>
                </w:rPr>
                <w:t xml:space="preserve">HSB 126</w:t>
              </w:r>
            </w:hyperlink>
          </w:p>
        </w:tc>
        <w:tc>
          <w:tcPr>
            <w:tcW w:w="3600" w:type="dxa"/>
            <w:noWrap w:val="false"/>
          </w:tcPr>
          <w:p>
            <w:r>
              <w:rPr>
                <w:sz w:val="20"/>
              </w:rPr>
              <w:t>A bill for an act relating to the organization, structure, and functions of state government, providing for salaries of appointed state officers, providing for penalties, making appropriations, providing Code editor directives and transition provisions, and including applicability and effective date provisions.</w:t>
            </w:r>
          </w:p>
        </w:tc>
        <w:tc>
          <w:tcPr>
            <w:tcW w:w="4320" w:type="dxa"/>
            <w:shd w:val="clear" w:color="auto" w:fill="FFFF66" w:themeFillTint="30"/>
            <w:noWrap w:val="false"/>
          </w:tcPr>
          <w:p>
            <w:r>
              <w:rPr>
                <w:sz w:val="20"/>
              </w:rPr>
              <w:t>Subcommittee Meeting: 02/23/2023 12:00PM RM 103, Sup. Ct. Chamber. (2/16/23)</w:t>
            </w:r>
          </w:p>
        </w:tc>
        <w:tc>
          <w:tcPr>
            <w:tcW w:w="4320" w:type="dxa"/>
            <w:noWrap w:val="false"/>
          </w:tcPr>
          <w:p>
            <w:pPr>
              <w:spacing w:before="0" w:after="0"/>
            </w:pPr>
            <w:r>
              <w:t>Monitor/Undecided</w:t>
            </w:r>
          </w:p>
          <w:p>
            <w:pPr>
              <w:spacing w:before="0" w:after="0"/>
            </w:pPr>
            <w:r>
              <w:t>The House plans to hold 4 subcommittee meetings on HSB 126, the Governor's nearly 1,700-page government reorganization bill, the week of Feb. 20th during the noon hour each day. They will cover different divisions of the bill each day. To see the specific agenda for each day, select the day and time at the following link which will also have details to view the meetings: https://www.legis.iowa.gov/committees/meetings/meetingsListChamber?chamber=H&amp;reqType=I%2C&amp;bDate=02%2F17%2F2023&amp;eDate=02%2F17%2F2023&amp;chamberID=H&amp;committeeTypeInterim=on</w:t>
            </w:r>
            <w:br/>
            <w:r>
              <w:t/>
            </w:r>
            <w:br/>
            <w:r>
              <w:t> </w:t>
            </w:r>
            <w:br/>
            <w:r>
              <w:t/>
            </w:r>
            <w:br/>
            <w:r>
              <w:t> </w:t>
            </w:r>
          </w:p>
          <w:p>
            <w:pPr>
              <w:spacing w:before="0" w:after="0"/>
            </w:pPr>
            <w:r>
              <w:t/>
            </w:r>
          </w:p>
        </w:tc>
      </w:tr>
      <w:tr>
        <w:trPr>
          <w:cantSplit w:val="true"/>
        </w:trPr>
        <w:tc>
          <w:tcPr>
            <w:tcW w:w="2160" w:type="dxa"/>
            <w:noWrap w:val="false"/>
          </w:tcPr>
          <w:p>
            <w:hyperlink r:id="rId22">
              <w:r>
                <w:rPr>
                  <w:rStyle w:val="Hyperlink"/>
                </w:rPr>
                <w:t xml:space="preserve">SF 21</w:t>
              </w:r>
            </w:hyperlink>
          </w:p>
          <w:p>
            <w:hyperlink r:id="rId23">
              <w:r>
                <w:rPr>
                  <w:rStyle w:val="Hyperlink"/>
                </w:rPr>
                <w:t xml:space="preserve">CO:HF 137</w:t>
              </w:r>
            </w:hyperlink>
          </w:p>
        </w:tc>
        <w:tc>
          <w:tcPr>
            <w:tcW w:w="3600" w:type="dxa"/>
            <w:noWrap w:val="false"/>
          </w:tcPr>
          <w:p>
            <w:r>
              <w:rPr>
                <w:sz w:val="20"/>
              </w:rPr>
              <w:t>A bill for an act relating to the practice of cosmetology and barbering in certain locations.</w:t>
            </w:r>
          </w:p>
        </w:tc>
        <w:tc>
          <w:tcPr>
            <w:tcW w:w="4320" w:type="dxa"/>
            <w:noWrap w:val="false"/>
          </w:tcPr>
          <w:p>
            <w:r>
              <w:rPr>
                <w:sz w:val="20"/>
              </w:rPr>
              <w:t>Attached to HF 137. (2/2/23)</w:t>
            </w:r>
          </w:p>
        </w:tc>
        <w:tc>
          <w:tcPr>
            <w:tcW w:w="4320" w:type="dxa"/>
            <w:noWrap w:val="false"/>
          </w:tcPr>
          <w:p>
            <w:pPr>
              <w:spacing w:before="0" w:after="0"/>
            </w:pPr>
            <w:r>
              <w:t>Monitor/Undecided</w:t>
            </w:r>
          </w:p>
          <w:p>
            <w:pPr>
              <w:spacing w:before="0" w:after="0"/>
            </w:pPr>
            <w:r>
              <w:t>the bill passed out fo subcmte unanimously and will move through committee next week.  We confirmed the bill ICSA supports is being drafted and should be out soon for consideration.  </w:t>
            </w:r>
          </w:p>
          <w:p>
            <w:pPr>
              <w:spacing w:before="0" w:after="0"/>
            </w:pPr>
            <w:r>
              <w:t/>
            </w:r>
          </w:p>
        </w:tc>
      </w:tr>
      <w:tr>
        <w:trPr>
          <w:cantSplit w:val="true"/>
        </w:trPr>
        <w:tc>
          <w:tcPr>
            <w:tcW w:w="2160" w:type="dxa"/>
            <w:noWrap w:val="false"/>
          </w:tcPr>
          <w:p>
            <w:hyperlink r:id="rId24">
              <w:r>
                <w:rPr>
                  <w:rStyle w:val="Hyperlink"/>
                </w:rPr>
                <w:t xml:space="preserve">SF 318</w:t>
              </w:r>
            </w:hyperlink>
          </w:p>
        </w:tc>
        <w:tc>
          <w:tcPr>
            <w:tcW w:w="3600" w:type="dxa"/>
            <w:noWrap w:val="false"/>
          </w:tcPr>
          <w:p>
            <w:r>
              <w:rPr>
                <w:sz w:val="20"/>
              </w:rPr>
              <w:t>A bill for an act relating to apprenticeships and establishing an Iowa office of apprenticeship and Iowa apprenticeship council.(Formerly SSB 1086.)</w:t>
            </w:r>
          </w:p>
        </w:tc>
        <w:tc>
          <w:tcPr>
            <w:tcW w:w="4320" w:type="dxa"/>
            <w:shd w:val="clear" w:color="auto" w:fill="FFFF66" w:themeFillTint="30"/>
            <w:noWrap w:val="false"/>
          </w:tcPr>
          <w:p>
            <w:r>
              <w:rPr>
                <w:sz w:val="20"/>
              </w:rPr>
              <w:t>Committee report, approving bill. (2/16/23)</w:t>
            </w:r>
          </w:p>
        </w:tc>
        <w:tc>
          <w:tcPr>
            <w:tcW w:w="4320" w:type="dxa"/>
            <w:noWrap w:val="false"/>
          </w:tcPr>
          <w:p>
            <w:pPr>
              <w:spacing w:before="0" w:after="0"/>
            </w:pPr>
            <w:r>
              <w:t/>
            </w:r>
          </w:p>
        </w:tc>
      </w:tr>
      <w:tr>
        <w:trPr>
          <w:cantSplit w:val="true"/>
        </w:trPr>
        <w:tc>
          <w:tcPr>
            <w:tcW w:w="2160" w:type="dxa"/>
            <w:noWrap w:val="false"/>
          </w:tcPr>
          <w:p>
            <w:hyperlink r:id="rId25">
              <w:r>
                <w:rPr>
                  <w:rStyle w:val="Hyperlink"/>
                </w:rPr>
                <w:t xml:space="preserve">SF 323</w:t>
              </w:r>
            </w:hyperlink>
          </w:p>
        </w:tc>
        <w:tc>
          <w:tcPr>
            <w:tcW w:w="3600" w:type="dxa"/>
            <w:noWrap w:val="false"/>
          </w:tcPr>
          <w:p>
            <w:r>
              <w:rPr>
                <w:sz w:val="20"/>
              </w:rPr>
              <w:t>A bill for an act prohibiting employers from engaging in certain actions relating to infectious diseases and providing penalties.</w:t>
            </w:r>
          </w:p>
        </w:tc>
        <w:tc>
          <w:tcPr>
            <w:tcW w:w="4320" w:type="dxa"/>
            <w:shd w:val="clear" w:color="auto" w:fill="FFFF66" w:themeFillTint="30"/>
            <w:noWrap w:val="false"/>
          </w:tcPr>
          <w:p>
            <w:r>
              <w:rPr>
                <w:sz w:val="20"/>
              </w:rPr>
              <w:t>Introduced, referred to Workforce. (2/16/23)</w:t>
            </w:r>
          </w:p>
        </w:tc>
        <w:tc>
          <w:tcPr>
            <w:tcW w:w="4320" w:type="dxa"/>
            <w:noWrap w:val="false"/>
          </w:tcPr>
          <w:p>
            <w:pPr>
              <w:spacing w:before="0" w:after="0"/>
            </w:pPr>
            <w:r>
              <w:t/>
            </w:r>
          </w:p>
        </w:tc>
      </w:tr>
      <w:tr>
        <w:trPr>
          <w:cantSplit w:val="true"/>
        </w:trPr>
        <w:tc>
          <w:tcPr>
            <w:tcW w:w="2160" w:type="dxa"/>
            <w:noWrap w:val="false"/>
          </w:tcPr>
          <w:p>
            <w:hyperlink r:id="rId26">
              <w:r>
                <w:rPr>
                  <w:rStyle w:val="Hyperlink"/>
                </w:rPr>
                <w:t xml:space="preserve">SSB 1108</w:t>
              </w:r>
            </w:hyperlink>
          </w:p>
        </w:tc>
        <w:tc>
          <w:tcPr>
            <w:tcW w:w="3600" w:type="dxa"/>
            <w:noWrap w:val="false"/>
          </w:tcPr>
          <w:p>
            <w:r>
              <w:rPr>
                <w:sz w:val="20"/>
              </w:rPr>
              <w:t>A bill for an act relating to the practice of barbering and cosmetology arts and sciences and providing transition provisions.</w:t>
            </w:r>
          </w:p>
        </w:tc>
        <w:tc>
          <w:tcPr>
            <w:tcW w:w="4320" w:type="dxa"/>
            <w:shd w:val="clear" w:color="auto" w:fill="FFFF66" w:themeFillTint="30"/>
            <w:noWrap w:val="false"/>
          </w:tcPr>
          <w:p>
            <w:r>
              <w:rPr>
                <w:sz w:val="20"/>
              </w:rPr>
              <w:t>Subcommittee recommends passage. []. (2/15/23)</w:t>
            </w:r>
          </w:p>
        </w:tc>
        <w:tc>
          <w:tcPr>
            <w:tcW w:w="4320" w:type="dxa"/>
            <w:noWrap w:val="false"/>
          </w:tcPr>
          <w:p>
            <w:pPr>
              <w:spacing w:before="0" w:after="0"/>
            </w:pPr>
            <w:r>
              <w:t>Support/For</w:t>
            </w:r>
          </w:p>
        </w:tc>
      </w:tr>
    </w:tbl>
    <w:sectPr>
      <w:headerReference w:type="default" r:id="rId3"/>
      <w:footerReference w:type="default" r:id="rId4"/>
      <w:type w:val="nextPage"/>
      <w:pgSz w:w="15840" w:h="12240" w:orient="landscape"/>
      <w:pgMar w:top="1266" w:right="720" w:bottom="720" w:left="720" w:header="432" w:footer="288" w:gutter="0"/>
      <w:pgNumType w:fmt="decimal"/>
      <w:formProt w:val="false"/>
      <w:textDirection w:val="lrTb"/>
      <w:docGrid w:type="default" w:linePitch="100" w:charSpace="0"/>
    </w:sectPr>
  </w:body>
</w:document>
</file>

<file path=word/fontTable.xml><?xml version="1.0" encoding="utf-8"?>
<w:font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Gill Sans MT">
    <w:charset w:val="01"/>
    <w:family w:val="roman"/>
    <w:pitch w:val="variable"/>
  </w:font>
  <w:font w:name="Cambria">
    <w:charset w:val="01"/>
    <w:family w:val="roman"/>
    <w:pitch w:val="variable"/>
  </w:font>
</w:fonts>
</file>

<file path=word/footer1.xml><?xml version="1.0" encoding="utf-8"?>
<w:ft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Footer"/>
      <w:spacing w:before="0" w:after="120"/>
      <w:jc w:val="center"/>
      <w:rPr/>
    </w:pPr>
    <w:r>
      <w:rPr>
        <w:rFonts w:ascii="Cambria" w:hAnsi="Cambria"/>
        <w:lang w:val="en-US"/>
      </w:rPr>
      <w:t xml:space="preserve">PAGE </w:t>
    </w:r>
    <w:r>
      <w:rPr/>
      <w:fldChar w:fldCharType="begin"/>
    </w:r>
    <w:r>
      <w:rPr/>
      <w:instrText> PAGE </w:instrText>
    </w:r>
    <w:r>
      <w:rPr/>
      <w:fldChar w:fldCharType="separate"/>
    </w:r>
    <w:r>
      <w:rPr/>
      <w:t>1</w:t>
    </w:r>
    <w:r>
      <w:rPr/>
      <w:fldChar w:fldCharType="end"/>
    </w:r>
    <w:r>
      <w:rPr>
        <w:rFonts w:ascii="Cambria" w:hAnsi="Cambria"/>
        <w:sz w:val="18"/>
        <w:szCs w:val="18"/>
        <w:lang w:val="en-US"/>
      </w:rPr>
      <w:t xml:space="preserve"> - </w:t>
    </w:r>
    <w:r>
      <w:rPr/>
      <w:fldChar w:fldCharType="begin"/>
    </w:r>
    <w:r>
      <w:rPr/>
      <w:instrText> DATE \@"M\/d\/yy" </w:instrText>
    </w:r>
    <w:r>
      <w:rPr/>
      <w:fldChar w:fldCharType="separate"/>
    </w:r>
    <w:r>
      <w:rPr/>
      <w:t>12/12/22</w:t>
    </w:r>
    <w:r>
      <w:rPr/>
      <w:fldChar w:fldCharType="end"/>
    </w:r>
  </w:p>
</w:ftr>
</file>

<file path=word/header1.xml><?xml version="1.0" encoding="utf-8"?>
<w:hd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Body"/>
      <w:spacing w:before="0" w:after="0" w:line="240" w:lineRule="auto"/>
      <w:jc w:val="center"/>
      <w:rPr/>
    </w:pPr>
    <w:r>
      <w:rPr>
        <w:rFonts w:ascii="Gill Sans MT" w:hAnsi="Gill Sans MT" w:eastAsia="Gill Sans MT" w:cs="Gill Sans MT"/>
        <w:outline w:val="false"/>
        <w:color w:val="1B255B"/>
        <w:sz w:val="48"/>
        <w:szCs w:val="48"/>
        <w:u w:val="none" w:color="1B255B"/>
        <w:lang w:val="de-DE"/>
      </w:rPr>
      <w:t> 2023 Bill Tracker</w:t>
    </w:r>
  </w:p>
</w:hdr>
</file>

<file path=word/settings.xml><?xml version="1.0" encoding="utf-8"?>
<w:setting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zoom w:percent="5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imes New Roman" w:hAnsi="Times New Roman" w:eastAsia="Arial Unicode MS" w:cs="Times New Roman"/>
        <w:lang w:val="en-US" w:eastAsia="zh-CN" w:bidi="hi-IN"/>
      </w:rPr>
    </w:rPrDefault>
    <w:pPrDefault>
      <w:pPr>
        <w:suppressAutoHyphens w:val="true"/>
      </w:pPr>
    </w:pPrDefault>
  </w:docDefaults>
  <w:style w:type="paragraph" w:styleId="Normal" w:default="true">
    <w:name w:val="Normal"/>
    <w:qFormat/>
    <w:pPr>
      <w:keepNext w:val="false"/>
      <w:keepLines w:val="false"/>
      <w:pageBreakBefore w:val="false"/>
      <w:widowControl/>
      <w:shd w:val="clear" w:color="auto" w:fill="auto"/>
      <w:suppressAutoHyphens w:val="false"/>
      <w:bidi w:val="false"/>
      <w:spacing w:before="0" w:beforeAutospacing="false" w:after="0" w:afterAutospacing="false" w:line="240" w:lineRule="auto"/>
      <w:ind w:left="0" w:right="0" w:hanging="0"/>
      <w:jc w:val="left"/>
    </w:pPr>
    <w:rPr>
      <w:rFonts w:ascii="Gill Sans MT"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Cs w:val="24"/>
      <w:u w:val="none" w:color="FFFFFF"/>
      <w:vertAlign w:val="baseline"/>
      <w:lang w:val="en-US" w:eastAsia="en-US" w:bidi="ar-SA"/>
    </w:rPr>
  </w:style>
  <w:style w:type="character" w:styleId="DefaultParagraphFont" w:default="true">
    <w:name w:val="Default Paragraph Font"/>
    <w:qFormat/>
    <w:rPr/>
  </w:style>
  <w:style w:type="character" w:styleId="InternetLink">
    <w:name w:val="Hyperlink"/>
    <w:rPr>
      <w:rFonts w:ascii="Gill Sans MT"/>
      <w:b w:val="true"/>
      <w:color w:val="000000"/>
      <w:sz w:val="22"/>
      <w:u w:val="single" w:color="000000"/>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 w:type="paragraph" w:styleId="Body">
    <w:name w:val="Body"/>
    <w:qFormat/>
    <w:pPr>
      <w:keepNext w:val="false"/>
      <w:keepLines w:val="false"/>
      <w:pageBreakBefore w:val="false"/>
      <w:widowControl/>
      <w:shd w:val="clear" w:color="auto" w:fill="auto"/>
      <w:suppressAutoHyphens w:val="true"/>
      <w:bidi w:val="false"/>
      <w:spacing w:before="0" w:beforeAutospacing="false" w:after="120" w:afterAutospacing="false" w:line="276" w:lineRule="auto"/>
      <w:ind w:left="0" w:right="0" w:hanging="0"/>
      <w:jc w:val="left"/>
    </w:pPr>
    <w:rPr>
      <w:rFonts w:ascii="Calibri" w:hAnsi="Calibri" w:eastAsia="Arial Unicode MS" w:cs="Arial Unicode MS"/>
      <w:b w:val="false"/>
      <w:bCs w:val="false"/>
      <w:i w:val="false"/>
      <w:iCs w:val="false"/>
      <w:caps w:val="false"/>
      <w:smallCaps w:val="false"/>
      <w:strike w:val="false"/>
      <w:dstrike w:val="false"/>
      <w:outline w:val="false"/>
      <w:emboss w:val="false"/>
      <w:imprint w:val="false"/>
      <w:vanish w:val="false"/>
      <w:color w:val="00000A"/>
      <w:spacing w:val="0"/>
      <w:w w:val="100"/>
      <w:kern w:val="0"/>
      <w:position w:val="0"/>
      <w:sz w:val="22"/>
      <w:szCs w:val="22"/>
      <w:u w:val="none" w:color="00000A"/>
      <w:shd w:val="clear" w:fill="auto"/>
      <w:vertAlign w:val="baseline"/>
      <w:lang w:val="de-DE" w:eastAsia="zh-CN" w:bidi="hi-IN"/>
    </w:rPr>
  </w:style>
  <w:style w:type="paragraph" w:styleId="HeaderandFooter">
    <w:name w:val="Header and Footer"/>
    <w:basedOn w:val="Normal"/>
    <w:qFormat/>
    <w:pPr/>
    <w:rPr/>
  </w:style>
  <w:style w:type="paragraph" w:styleId="Footer">
    <w:name w:val="Footer"/>
    <w:pPr>
      <w:keepNext w:val="false"/>
      <w:keepLines w:val="false"/>
      <w:pageBreakBefore w:val="false"/>
      <w:widowControl/>
      <w:shd w:val="clear" w:color="auto" w:fill="auto"/>
      <w:tabs>
        <w:tab w:val="clear" w:pos="720"/>
        <w:tab w:val="center" w:leader="none" w:pos="4680"/>
        <w:tab w:val="right" w:leader="none" w:pos="9360"/>
      </w:tabs>
      <w:suppressAutoHyphens w:val="true"/>
      <w:bidi w:val="false"/>
      <w:spacing w:before="0" w:beforeAutospacing="false" w:after="0" w:afterAutospacing="false" w:line="240" w:lineRule="auto"/>
      <w:ind w:left="0" w:right="0" w:hanging="0"/>
      <w:jc w:val="left"/>
    </w:pPr>
    <w:rPr>
      <w:rFonts w:ascii="Calibri" w:hAnsi="Calibri" w:eastAsia="Arial Unicode MS" w:cs="Arial Unicode MS"/>
      <w:b w:val="false"/>
      <w:bCs w:val="false"/>
      <w:i w:val="false"/>
      <w:iCs w:val="false"/>
      <w:caps w:val="false"/>
      <w:smallCaps w:val="false"/>
      <w:strike w:val="false"/>
      <w:dstrike w:val="false"/>
      <w:outline w:val="false"/>
      <w:emboss w:val="false"/>
      <w:imprint w:val="false"/>
      <w:vanish w:val="false"/>
      <w:color w:val="00000A"/>
      <w:spacing w:val="0"/>
      <w:w w:val="100"/>
      <w:kern w:val="0"/>
      <w:position w:val="0"/>
      <w:sz w:val="22"/>
      <w:szCs w:val="22"/>
      <w:u w:val="none" w:color="00000A"/>
      <w:shd w:val="clear" w:fill="auto"/>
      <w:vertAlign w:val="baseline"/>
      <w:lang w:val="en-US" w:eastAsia="zh-CN" w:bidi="hi-IN"/>
    </w:rPr>
  </w:style>
  <w:style w:type="paragraph" w:styleId="Header">
    <w:name w:val="Header"/>
    <w:basedOn w:val="HeaderandFooter"/>
    <w:pPr/>
    <w:rPr/>
  </w:style>
  <w:style w:type="numbering" w:styleId="NoList" w:default="true">
    <w:name w:val="No List"/>
    <w:qFormat/>
  </w:style>
  <w:style w:type="table" w:styleId="Table Normal" w:default="true">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Relationship Target="media/image1.jpeg" Type="http://schemas.openxmlformats.org/officeDocument/2006/relationships/image" Id="rId2"></Relationship><Relationship Target="header1.xml" Type="http://schemas.openxmlformats.org/officeDocument/2006/relationships/header" Id="rId3"></Relationship><Relationship Target="footer1.xml" Type="http://schemas.openxmlformats.org/officeDocument/2006/relationships/footer" Id="rId4"></Relationship><Relationship Target="fontTable.xml" Type="http://schemas.openxmlformats.org/officeDocument/2006/relationships/fontTable" Id="rId5"></Relationship><Relationship Target="settings.xml" Type="http://schemas.openxmlformats.org/officeDocument/2006/relationships/settings" Id="rId6"></Relationship><Relationship Target="theme/theme1.xml" Type="http://schemas.openxmlformats.org/officeDocument/2006/relationships/theme" Id="rId7"></Relationship><Relationship TargetMode="External" Target="https://www.legis.iowa.gov/legislation/BillBook?ga=90&amp;ba=HSB126" Type="http://schemas.openxmlformats.org/officeDocument/2006/relationships/hyperlink" Id="rId8"/><Relationship TargetMode="External" Target="https://www.legis.iowa.gov/legislation/BillBook?ga=90&amp;ba=SF318" Type="http://schemas.openxmlformats.org/officeDocument/2006/relationships/hyperlink" Id="rId9"/><Relationship TargetMode="External" Target="https://www.legis.iowa.gov/legislation/BillBook?ga=90&amp;ba=SSB1086" Type="http://schemas.openxmlformats.org/officeDocument/2006/relationships/hyperlink" Id="rId10"/><Relationship TargetMode="External" Target="https://www.legis.iowa.gov/legislation/BillBook?ga=90&amp;ba=SF318" Type="http://schemas.openxmlformats.org/officeDocument/2006/relationships/hyperlink" Id="rId11"/><Relationship TargetMode="External" Target="https://www.legis.iowa.gov/legislation/BillBook?ga=90&amp;ba=SSB1108" Type="http://schemas.openxmlformats.org/officeDocument/2006/relationships/hyperlink" Id="rId12"/><Relationship TargetMode="External" Target="https://www.legis.iowa.gov/legislation/BillBook?ga=90&amp;ba=HF31" Type="http://schemas.openxmlformats.org/officeDocument/2006/relationships/hyperlink" Id="rId13"/><Relationship TargetMode="External" Target="https://www.legis.iowa.gov/legislation/BillBook?ga=90&amp;ba=HF137" Type="http://schemas.openxmlformats.org/officeDocument/2006/relationships/hyperlink" Id="rId14"/><Relationship TargetMode="External" Target="https://www.legis.iowa.gov/legislation/BillBook?ga=90&amp;ba=SF21" Type="http://schemas.openxmlformats.org/officeDocument/2006/relationships/hyperlink" Id="rId15"/><Relationship TargetMode="External" Target="https://www.legis.iowa.gov/legislation/BillBook?ga=90&amp;ba=HF254" Type="http://schemas.openxmlformats.org/officeDocument/2006/relationships/hyperlink" Id="rId16"/><Relationship TargetMode="External" Target="https://www.legis.iowa.gov/legislation/BillBook?ga=90&amp;ba=HF293" Type="http://schemas.openxmlformats.org/officeDocument/2006/relationships/hyperlink" Id="rId17"/><Relationship TargetMode="External" Target="https://www.legis.iowa.gov/legislation/BillBook?ga=90&amp;ba=HSB63" Type="http://schemas.openxmlformats.org/officeDocument/2006/relationships/hyperlink" Id="rId18"/><Relationship TargetMode="External" Target="https://www.legis.iowa.gov/legislation/BillBook?ga=90&amp;ba=HSB82" Type="http://schemas.openxmlformats.org/officeDocument/2006/relationships/hyperlink" Id="rId19"/><Relationship TargetMode="External" Target="https://www.legis.iowa.gov/legislation/BillBook?ga=90&amp;ba=HSB90" Type="http://schemas.openxmlformats.org/officeDocument/2006/relationships/hyperlink" Id="rId20"/><Relationship TargetMode="External" Target="https://www.legis.iowa.gov/legislation/BillBook?ga=90&amp;ba=HSB126" Type="http://schemas.openxmlformats.org/officeDocument/2006/relationships/hyperlink" Id="rId21"/><Relationship TargetMode="External" Target="https://www.legis.iowa.gov/legislation/BillBook?ga=90&amp;ba=SF21" Type="http://schemas.openxmlformats.org/officeDocument/2006/relationships/hyperlink" Id="rId22"/><Relationship TargetMode="External" Target="https://www.legis.iowa.gov/legislation/BillBook?ga=90&amp;ba=HF137" Type="http://schemas.openxmlformats.org/officeDocument/2006/relationships/hyperlink" Id="rId23"/><Relationship TargetMode="External" Target="https://www.legis.iowa.gov/legislation/BillBook?ga=90&amp;ba=SF318" Type="http://schemas.openxmlformats.org/officeDocument/2006/relationships/hyperlink" Id="rId24"/><Relationship TargetMode="External" Target="https://www.legis.iowa.gov/legislation/BillBook?ga=90&amp;ba=SF323" Type="http://schemas.openxmlformats.org/officeDocument/2006/relationships/hyperlink" Id="rId25"/><Relationship TargetMode="External" Target="https://www.legis.iowa.gov/legislation/BillBook?ga=90&amp;ba=SSB1108" Type="http://schemas.openxmlformats.org/officeDocument/2006/relationships/hyperlink" Id="rId26"/></Relationships>
</file>

<file path=word/theme/theme1.xml><?xml version="1.0" encoding="utf-8"?>
<a:theme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sx="100000" sy="100000" kx="0" ky="0" algn="b" rotWithShape="false">
              <a:srgbClr val="000000">
                <a:alpha val="35000"/>
              </a:srgbClr>
            </a:outerShdw>
          </a:effectLst>
        </a:effectStyle>
        <a:effectStyle>
          <a:effectLst>
            <a:outerShdw blurRad="38100" dist="23000" dir="5400000" sx="100000" sy="100000" kx="0" ky="0" algn="b" rotWithShape="false">
              <a:srgbClr val="000000">
                <a:alpha val="35000"/>
              </a:srgbClr>
            </a:outerShdw>
          </a:effectLst>
        </a:effectStyle>
        <a:effectStyle>
          <a:effectLst>
            <a:outerShdw blurRad="38100" dist="20000" dir="5400000" sx="100000" sy="100000" kx="0" ky="0" algn="b" rotWithShape="false">
              <a:srgbClr val="000000">
                <a:alpha val="38000"/>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sx="100000" sy="100000" kx="0" ky="0" algn="b" rotWithShape="false">
            <a:srgbClr val="000000">
              <a:alpha val="35000"/>
            </a:srgbClr>
          </a:outerShdw>
        </a:effectLst>
        <a:sp3d/>
      </a:spPr>
      <a:bodyPr rot="0" spcFirstLastPara="true" vertOverflow="overflow" horzOverflow="overflow" vert="horz" wrap="square" lIns="45719" tIns="45719" rIns="45719" bIns="45719" numCol="1" spcCol="38100" rtlCol="false" anchor="ctr" upright="false">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blurRad="38100" dist="20000" dir="5400000" sx="100000" sy="100000" kx="0" ky="0" algn="b" rotWithShape="false">
            <a:srgbClr val="000000">
              <a:alpha val="38000"/>
            </a:srgbClr>
          </a:outerShdw>
        </a:effectLst>
        <a:sp3d/>
      </a:spPr>
      <a:bodyPr rot="0" spcFirstLastPara="true" vertOverflow="overflow" horzOverflow="overflow" vert="horz" wrap="square" lIns="91439" tIns="45719" rIns="91439" bIns="45719" numCol="1" spcCol="38100" rtlCol="false" anchor="t" upright="false">
        <a:noAutofit/>
      </a:bodyPr>
      <a:lstStyle>
        <a:def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true" vertOverflow="overflow" horzOverflow="overflow" vert="horz" wrap="square" lIns="45719" tIns="45719" rIns="45719" bIns="45719" numCol="1" spcCol="38100" rtlCol="false" anchor="t" upright="false">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fillRef idx="0"/>
        <a:effectRef idx="0"/>
        <a:fontRef idx="none"/>
      </a:style>
    </a:txDef>
  </a:objectDefaults>
</a:theme>
</file>

<file path=docProps/app.xml><?xml version="1.0" encoding="utf-8"?>
<properties:Properties xmlns:vt="http://schemas.openxmlformats.org/officeDocument/2006/docPropsVTypes" xmlns:properties="http://schemas.openxmlformats.org/officeDocument/2006/extended-properties">
  <properties:Template/>
  <properties:Pages>1</properties:Pages>
  <properties:Words>5</properties:Words>
  <properties:Characters>20</properties:Characters>
  <properties:Paragraphs>2</properties:Paragraphs>
  <properties:TotalTime>1343</properties:TotalTime>
  <properties:CharactersWithSpaces>23</properties:CharactersWithSpac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creator/>
  <dc:description/>
  <dc:language>en-US</dc:language>
  <cp:lastModifiedBy>docx4j</cp:lastModifiedBy>
  <dcterms:modified xmlns:xsi="http://www.w3.org/2001/XMLSchema-instance" xsi:type="dcterms:W3CDTF">2022-12-12T13:28:23Z</dcterms:modified>
  <cp:revision>6</cp:revision>
  <dc:subject/>
  <dc:title/>
</cp:coreProperties>
</file>

<file path=docProps/custom.xml><?xml version="1.0" encoding="utf-8"?>
<prop:Properties xmlns:vt="http://schemas.openxmlformats.org/officeDocument/2006/docPropsVTypes" xmlns:prop="http://schemas.openxmlformats.org/officeDocument/2006/custom-properties"/>
</file>