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jc w:val="left"/>
        <w:rPr/>
      </w:pPr>
      <w:r>
        <w:rPr/>
        <w:drawing>
          <wp:anchor distT="152400" distB="152400" distL="152400" distR="152400" simplePos="false" relativeHeight="2" behindDoc="true" locked="false" layoutInCell="false" allowOverlap="true">
            <wp:simplePos x="0" y="0"/>
            <wp:positionH relativeFrom="page">
              <wp:posOffset>511810</wp:posOffset>
            </wp:positionH>
            <wp:positionV relativeFrom="page">
              <wp:posOffset>0</wp:posOffset>
            </wp:positionV>
            <wp:extent cx="1634490" cy="727710"/>
            <wp:effectExtent l="0" t="0" r="0" b="0"/>
            <wp:wrapTopAndBottom/>
            <wp:docPr id="1" name="officeArt object" descr="Image"/>
            <wp:cNvGraphicFramePr>
              <a:graphicFrameLocks noChangeAspect="true"/>
            </wp:cNvGraphicFramePr>
            <a:graphic>
              <a:graphicData uri="http://schemas.openxmlformats.org/drawingml/2006/picture">
                <pic:pic>
                  <pic:nvPicPr>
                    <pic:cNvPr id="1" name="officeArt object" descr="Image"/>
                    <pic:cNvPicPr>
                      <a:picLocks noChangeAspect="true" noChangeArrowheads="true"/>
                    </pic:cNvPicPr>
                  </pic:nvPicPr>
                  <pic:blipFill>
                    <a:blip r:embed="rId2"/>
                    <a:stretch>
                      <a:fillRect/>
                    </a:stretch>
                  </pic:blipFill>
                  <pic:spPr bwMode="auto">
                    <a:xfrm>
                      <a:off x="0" y="0"/>
                      <a:ext cx="1634490" cy="727710"/>
                    </a:xfrm>
                    <a:prstGeom prst="rect">
                      <a:avLst/>
                    </a:prstGeom>
                  </pic:spPr>
                </pic:pic>
              </a:graphicData>
            </a:graphic>
          </wp:anchor>
        </w:drawing>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8">
              <w:r>
                <w:rPr>
                  <w:rStyle w:val="Hyperlink"/>
                </w:rPr>
                <w:t xml:space="preserve">HF 127</w:t>
              </w:r>
            </w:hyperlink>
          </w:p>
          <w:p>
            <w:hyperlink r:id="rId9">
              <w:r>
                <w:rPr>
                  <w:rStyle w:val="Hyperlink"/>
                </w:rPr>
                <w:t xml:space="preserve">CO:SF 294</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Introduced, referred to State Government. (1/26/23)</w:t>
            </w:r>
          </w:p>
        </w:tc>
        <w:tc>
          <w:tcPr>
            <w:tcW w:w="4320" w:type="dxa"/>
            <w:noWrap w:val="false"/>
          </w:tcPr>
          <w:p>
            <w:pPr>
              <w:spacing w:before="0" w:after="0"/>
            </w:pPr>
            <w:r>
              <w:t>Support/For</w:t>
            </w:r>
          </w:p>
          <w:p>
            <w:pPr>
              <w:spacing w:before="0" w:after="0"/>
            </w:pPr>
            <w:r>
              <w:t>The AS team has requested supportive members of the State Government Committee like Reps. Kaufmann and Siegrist be assigned to the bill. </w:t>
            </w:r>
          </w:p>
          <w:p>
            <w:pPr>
              <w:spacing w:before="0" w:after="0"/>
            </w:pPr>
            <w:r>
              <w:t/>
            </w:r>
          </w:p>
        </w:tc>
      </w:tr>
      <w:tr>
        <w:trPr>
          <w:cantSplit w:val="true"/>
        </w:trPr>
        <w:tc>
          <w:tcPr>
            <w:tcW w:w="2160" w:type="dxa"/>
            <w:noWrap w:val="false"/>
          </w:tcPr>
          <w:p>
            <w:hyperlink r:id="rId10">
              <w:r>
                <w:rPr>
                  <w:rStyle w:val="Hyperlink"/>
                </w:rPr>
                <w:t xml:space="preserve">SF 294</w:t>
              </w:r>
            </w:hyperlink>
          </w:p>
          <w:p>
            <w:hyperlink r:id="rId11">
              <w:r>
                <w:rPr>
                  <w:rStyle w:val="Hyperlink"/>
                </w:rPr>
                <w:t xml:space="preserve">CO:HF 127</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Subcommittee: Schultz, Bisignano, and Bousselot. (2/20/23)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2">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Signed by Governor. (4/4/23)</w:t>
            </w:r>
            <w:br/>
            <w:r>
              <w:rPr>
                <w:sz w:val="20"/>
              </w:rPr>
              <w:t>Passed Senate, yeas 34, nays 15. (3/7/23)</w:t>
            </w:r>
            <w:br/>
            <w:r>
              <w:rPr>
                <w:sz w:val="20"/>
              </w:rPr>
              <w:t>Passed House, yeas 58, nays 39. (3/15/23)</w:t>
            </w:r>
          </w:p>
        </w:tc>
        <w:tc>
          <w:tcPr>
            <w:tcW w:w="4320" w:type="dxa"/>
            <w:noWrap w:val="false"/>
          </w:tcPr>
          <w:p>
            <w:pPr>
              <w:spacing w:before="0" w:after="0"/>
            </w:pPr>
            <w:r>
              <w:t/>
            </w:r>
          </w:p>
        </w:tc>
      </w:tr>
    </w:tbl>
    <w:p>
      <w:r>
        <w:rPr>
          <w:sz w:val="24"/>
        </w:rPr>
        <w:t/>
      </w:r>
    </w:p>
    <w:p>
      <w:pPr>
        <w:spacing w:before="0" w:after="0"/>
      </w:pPr>
      <w:r>
        <w:rPr>
          <w:b w:val="true"/>
          <w:sz w:val="48"/>
          <w:u w:val="single"/>
        </w:rPr>
        <w:t>Passed Both Chambers</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rPr>
                <w:t xml:space="preserve">HF 314</w:t>
              </w:r>
            </w:hyperlink>
          </w:p>
          <w:p>
            <w:hyperlink r:id="rId14">
              <w:r>
                <w:rPr>
                  <w:rStyle w:val="Hyperlink"/>
                </w:rPr>
                <w:t xml:space="preserve">CO:HF 75</w:t>
              </w:r>
            </w:hyperlink>
          </w:p>
        </w:tc>
        <w:tc>
          <w:tcPr>
            <w:tcW w:w="3600" w:type="dxa"/>
            <w:noWrap w:val="false"/>
          </w:tcPr>
          <w:p>
            <w:r>
              <w:rPr>
                <w:sz w:val="20"/>
              </w:rPr>
              <w:t>A bill for an act relating to methods of determining compensation for elected county officers. (Formerly HF 75.)</w:t>
            </w:r>
          </w:p>
        </w:tc>
        <w:tc>
          <w:tcPr>
            <w:tcW w:w="4320" w:type="dxa"/>
            <w:noWrap w:val="false"/>
          </w:tcPr>
          <w:p>
            <w:r>
              <w:rPr>
                <w:sz w:val="20"/>
              </w:rPr>
              <w:t>Senate amendment H-1318 filed. (4/27/23)</w:t>
            </w:r>
            <w:br/>
            <w:r>
              <w:rPr>
                <w:sz w:val="20"/>
              </w:rPr>
              <w:t>Passed House, yeas 62, nays 33. (2/22/23)</w:t>
            </w:r>
            <w:br/>
            <w:r>
              <w:rPr>
                <w:sz w:val="20"/>
              </w:rPr>
              <w:t>Passed Senate, yeas 49, nays 0. (4/26/23)</w:t>
            </w:r>
          </w:p>
        </w:tc>
        <w:tc>
          <w:tcPr>
            <w:tcW w:w="4320" w:type="dxa"/>
            <w:noWrap w:val="false"/>
          </w:tcPr>
          <w:p>
            <w:pPr>
              <w:spacing w:before="0" w:after="0"/>
            </w:pPr>
            <w:r>
              <w:t>Monitor/Undecided</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5">
              <w:r>
                <w:rPr>
                  <w:rStyle w:val="Hyperlink"/>
                </w:rPr>
                <w:t xml:space="preserve">HF 340</w:t>
              </w:r>
            </w:hyperlink>
          </w:p>
          <w:p>
            <w:hyperlink r:id="rId16">
              <w:r>
                <w:rPr>
                  <w:rStyle w:val="Hyperlink"/>
                </w:rPr>
                <w:t xml:space="preserve">CO:HF 193</w:t>
              </w:r>
            </w:hyperlink>
          </w:p>
        </w:tc>
        <w:tc>
          <w:tcPr>
            <w:tcW w:w="3600" w:type="dxa"/>
            <w:noWrap w:val="false"/>
          </w:tcPr>
          <w:p>
            <w:r>
              <w:rPr>
                <w:sz w:val="20"/>
              </w:rPr>
              <w:t>A bill for an act authorizing length of service award programs for volunteer fire fighters, volunteer emergency medical care providers, and reserve peace officers, and making appropriations.(Formerly HF 193, HSB 19.)</w:t>
            </w:r>
          </w:p>
        </w:tc>
        <w:tc>
          <w:tcPr>
            <w:tcW w:w="4320" w:type="dxa"/>
            <w:noWrap w:val="false"/>
          </w:tcPr>
          <w:p>
            <w:r>
              <w:rPr>
                <w:sz w:val="20"/>
              </w:rPr>
              <w:t>Subcommittee recommends passage. []. (3/28/23)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HF 718</w:t>
              </w:r>
            </w:hyperlink>
          </w:p>
        </w:tc>
        <w:tc>
          <w:tcPr>
            <w:tcW w:w="3600" w:type="dxa"/>
            <w:noWrap w:val="false"/>
          </w:tcPr>
          <w:p>
            <w:r>
              <w:rPr>
                <w:sz w:val="20"/>
              </w:rPr>
              <w:t>A bill for an act relating to local government funding by modifying school district funding provisions, property tax calculation provisions, local government budgeting and bonding procedures, making transfers, and including effective date and applicability provisions. (Formerly HF 1.)</w:t>
            </w:r>
          </w:p>
        </w:tc>
        <w:tc>
          <w:tcPr>
            <w:tcW w:w="4320" w:type="dxa"/>
            <w:shd w:val="clear" w:color="auto" w:fill="FFFF66" w:themeFillTint="30"/>
            <w:noWrap w:val="false"/>
          </w:tcPr>
          <w:p>
            <w:r>
              <w:rPr>
                <w:sz w:val="20"/>
              </w:rPr>
              <w:t>Subcommittee Meeting: 05/01/2023 12:00PM Senate Lounge. (4/30/23)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8">
              <w:r>
                <w:rPr>
                  <w:rStyle w:val="Hyperlink"/>
                </w:rPr>
                <w:t xml:space="preserve">HF 43</w:t>
              </w:r>
            </w:hyperlink>
          </w:p>
          <w:p>
            <w:hyperlink r:id="rId19">
              <w:r>
                <w:rPr>
                  <w:rStyle w:val="Hyperlink"/>
                </w:rPr>
                <w:t xml:space="preserve">CO:SF 18</w:t>
              </w:r>
            </w:hyperlink>
          </w:p>
        </w:tc>
        <w:tc>
          <w:tcPr>
            <w:tcW w:w="3600" w:type="dxa"/>
            <w:noWrap w:val="false"/>
          </w:tcPr>
          <w:p>
            <w:r>
              <w:rPr>
                <w:sz w:val="20"/>
              </w:rPr>
              <w:t>A bill for an act abolishing county compensation boards.</w:t>
            </w:r>
          </w:p>
        </w:tc>
        <w:tc>
          <w:tcPr>
            <w:tcW w:w="4320" w:type="dxa"/>
            <w:noWrap w:val="false"/>
          </w:tcPr>
          <w:p>
            <w:r>
              <w:rPr>
                <w:sz w:val="20"/>
              </w:rPr>
              <w:t>Introduced, referred to Local Government. (1/12/23)</w:t>
            </w:r>
          </w:p>
        </w:tc>
        <w:tc>
          <w:tcPr>
            <w:tcW w:w="4320" w:type="dxa"/>
            <w:noWrap w:val="false"/>
          </w:tcPr>
          <w:p>
            <w:pPr>
              <w:spacing w:before="0" w:after="0"/>
            </w:pPr>
            <w:r>
              <w:t>Monitor/Undecided</w:t>
            </w:r>
          </w:p>
        </w:tc>
      </w:tr>
      <w:tr>
        <w:trPr>
          <w:cantSplit w:val="true"/>
        </w:trPr>
        <w:tc>
          <w:tcPr>
            <w:tcW w:w="2160" w:type="dxa"/>
            <w:noWrap w:val="false"/>
          </w:tcPr>
          <w:p>
            <w:hyperlink r:id="rId20">
              <w:r>
                <w:rPr>
                  <w:rStyle w:val="Hyperlink"/>
                </w:rPr>
                <w:t xml:space="preserve">HF 117</w:t>
              </w:r>
            </w:hyperlink>
          </w:p>
        </w:tc>
        <w:tc>
          <w:tcPr>
            <w:tcW w:w="3600" w:type="dxa"/>
            <w:noWrap w:val="false"/>
          </w:tcPr>
          <w:p>
            <w:r>
              <w:rPr>
                <w:sz w:val="20"/>
              </w:rPr>
              <w:t>A bill for an act relating to budgets of local emergency management agencies and including applicability provisions.</w:t>
            </w:r>
          </w:p>
        </w:tc>
        <w:tc>
          <w:tcPr>
            <w:tcW w:w="4320" w:type="dxa"/>
            <w:noWrap w:val="false"/>
          </w:tcPr>
          <w:p>
            <w:r>
              <w:rPr>
                <w:sz w:val="20"/>
              </w:rPr>
              <w:t>Subcommittee recommends passage. Vote Total: 2-1. (2/8/23)</w:t>
            </w:r>
          </w:p>
        </w:tc>
        <w:tc>
          <w:tcPr>
            <w:tcW w:w="4320" w:type="dxa"/>
            <w:noWrap w:val="false"/>
          </w:tcPr>
          <w:p>
            <w:pPr>
              <w:spacing w:before="0" w:after="0"/>
            </w:pPr>
            <w:r>
              <w:t>Oppose/Against</w:t>
            </w:r>
          </w:p>
          <w:p>
            <w:pPr>
              <w:spacing w:before="0" w:after="0"/>
            </w:pPr>
            <w:r>
              <w:t>Advanced on partisan lines out of subcommittee. However, we have heard this legislation will likely not be moving forward after substantial work by the AS team and IEMA leadership in opposing it. </w:t>
            </w:r>
          </w:p>
          <w:p>
            <w:pPr>
              <w:spacing w:before="0" w:after="0"/>
            </w:pPr>
            <w:r>
              <w:t/>
            </w:r>
          </w:p>
        </w:tc>
      </w:tr>
      <w:tr>
        <w:trPr>
          <w:cantSplit w:val="true"/>
        </w:trPr>
        <w:tc>
          <w:tcPr>
            <w:tcW w:w="2160" w:type="dxa"/>
            <w:noWrap w:val="false"/>
          </w:tcPr>
          <w:p>
            <w:hyperlink r:id="rId21">
              <w:r>
                <w:rPr>
                  <w:rStyle w:val="Hyperlink"/>
                </w:rPr>
                <w:t xml:space="preserve">HF 127</w:t>
              </w:r>
            </w:hyperlink>
          </w:p>
          <w:p>
            <w:hyperlink r:id="rId22">
              <w:r>
                <w:rPr>
                  <w:rStyle w:val="Hyperlink"/>
                </w:rPr>
                <w:t xml:space="preserve">CO:SF 294</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Introduced, referred to State Government. (1/26/23)</w:t>
            </w:r>
          </w:p>
        </w:tc>
        <w:tc>
          <w:tcPr>
            <w:tcW w:w="4320" w:type="dxa"/>
            <w:noWrap w:val="false"/>
          </w:tcPr>
          <w:p>
            <w:pPr>
              <w:spacing w:before="0" w:after="0"/>
            </w:pPr>
            <w:r>
              <w:t>Support/For</w:t>
            </w:r>
          </w:p>
          <w:p>
            <w:pPr>
              <w:spacing w:before="0" w:after="0"/>
            </w:pPr>
            <w:r>
              <w:t>The AS team has requested supportive members of the State Government Committee like Reps. Kaufmann and Siegrist be assigned to the bill. </w:t>
            </w:r>
          </w:p>
          <w:p>
            <w:pPr>
              <w:spacing w:before="0" w:after="0"/>
            </w:pPr>
            <w:r>
              <w:t/>
            </w:r>
          </w:p>
        </w:tc>
      </w:tr>
      <w:tr>
        <w:trPr>
          <w:cantSplit w:val="true"/>
        </w:trPr>
        <w:tc>
          <w:tcPr>
            <w:tcW w:w="2160" w:type="dxa"/>
            <w:noWrap w:val="false"/>
          </w:tcPr>
          <w:p>
            <w:hyperlink r:id="rId23">
              <w:r>
                <w:rPr>
                  <w:rStyle w:val="Hyperlink"/>
                </w:rPr>
                <w:t xml:space="preserve">HF 702</w:t>
              </w:r>
            </w:hyperlink>
          </w:p>
        </w:tc>
        <w:tc>
          <w:tcPr>
            <w:tcW w:w="3600" w:type="dxa"/>
            <w:noWrap w:val="false"/>
          </w:tcPr>
          <w:p>
            <w:r>
              <w:rPr>
                <w:sz w:val="20"/>
              </w:rPr>
              <w:t>A bill for an act modifying the sales tax holiday by extending the holiday and including disaster preparedness supplies.(Formerly HF 46.)</w:t>
            </w:r>
          </w:p>
        </w:tc>
        <w:tc>
          <w:tcPr>
            <w:tcW w:w="4320" w:type="dxa"/>
            <w:noWrap w:val="false"/>
          </w:tcPr>
          <w:p>
            <w:r>
              <w:rPr>
                <w:sz w:val="20"/>
              </w:rPr>
              <w:t>Fiscal note. (4/11/23)</w:t>
            </w:r>
          </w:p>
        </w:tc>
        <w:tc>
          <w:tcPr>
            <w:tcW w:w="4320" w:type="dxa"/>
            <w:noWrap w:val="false"/>
          </w:tcPr>
          <w:p>
            <w:pPr>
              <w:spacing w:before="0" w:after="0"/>
            </w:pPr>
            <w:r>
              <w:t/>
            </w:r>
          </w:p>
        </w:tc>
      </w:tr>
      <w:tr>
        <w:trPr>
          <w:cantSplit w:val="true"/>
        </w:trPr>
        <w:tc>
          <w:tcPr>
            <w:tcW w:w="2160" w:type="dxa"/>
            <w:noWrap w:val="false"/>
          </w:tcPr>
          <w:p>
            <w:hyperlink r:id="rId24">
              <w:r>
                <w:rPr>
                  <w:rStyle w:val="Hyperlink"/>
                </w:rPr>
                <w:t xml:space="preserve">HF 705</w:t>
              </w:r>
            </w:hyperlink>
          </w:p>
        </w:tc>
        <w:tc>
          <w:tcPr>
            <w:tcW w:w="3600" w:type="dxa"/>
            <w:noWrap w:val="false"/>
          </w:tcPr>
          <w:p>
            <w:r>
              <w:rPr>
                <w:sz w:val="20"/>
              </w:rPr>
              <w:t>A bill for an act relating to budgets of local emergency management agencies and including applicability provisions.(Formerly HF 546, HF 126.)</w:t>
            </w:r>
          </w:p>
        </w:tc>
        <w:tc>
          <w:tcPr>
            <w:tcW w:w="4320" w:type="dxa"/>
            <w:noWrap w:val="false"/>
          </w:tcPr>
          <w:p>
            <w:r>
              <w:rPr>
                <w:sz w:val="20"/>
              </w:rPr>
              <w:t>Introduced, placed on Ways and Means calendar. (4/10/23)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SF 18</w:t>
              </w:r>
            </w:hyperlink>
          </w:p>
          <w:p>
            <w:hyperlink r:id="rId26">
              <w:r>
                <w:rPr>
                  <w:rStyle w:val="Hyperlink"/>
                </w:rPr>
                <w:t xml:space="preserve">CO:HF 43</w:t>
              </w:r>
            </w:hyperlink>
          </w:p>
        </w:tc>
        <w:tc>
          <w:tcPr>
            <w:tcW w:w="3600" w:type="dxa"/>
            <w:noWrap w:val="false"/>
          </w:tcPr>
          <w:p>
            <w:r>
              <w:rPr>
                <w:sz w:val="20"/>
              </w:rPr>
              <w:t>A bill for an act abolishing county compensation boards.</w:t>
            </w:r>
          </w:p>
        </w:tc>
        <w:tc>
          <w:tcPr>
            <w:tcW w:w="4320" w:type="dxa"/>
            <w:noWrap w:val="false"/>
          </w:tcPr>
          <w:p>
            <w:r>
              <w:rPr>
                <w:sz w:val="20"/>
              </w:rPr>
              <w:t>Subcommittee recommends passage. []. (1/12/23)</w:t>
            </w:r>
          </w:p>
        </w:tc>
        <w:tc>
          <w:tcPr>
            <w:tcW w:w="4320" w:type="dxa"/>
            <w:noWrap w:val="false"/>
          </w:tcPr>
          <w:p>
            <w:pPr>
              <w:spacing w:before="0" w:after="0"/>
            </w:pPr>
            <w:r>
              <w:t>Monitor/Undecided</w:t>
            </w:r>
          </w:p>
          <w:p>
            <w:pPr>
              <w:spacing w:before="0" w:after="0"/>
            </w:pPr>
            <w:r>
              <w:t>Senators Klimesh and Guth made clear there will be several bills on county compensation boards coming forward before they decide on what path to take in addressing the issue at large.</w:t>
            </w:r>
          </w:p>
          <w:p>
            <w:pPr>
              <w:spacing w:before="0" w:after="0"/>
            </w:pPr>
            <w:r>
              <w:t/>
            </w:r>
          </w:p>
        </w:tc>
      </w:tr>
      <w:tr>
        <w:trPr>
          <w:cantSplit w:val="true"/>
        </w:trPr>
        <w:tc>
          <w:tcPr>
            <w:tcW w:w="2160" w:type="dxa"/>
            <w:noWrap w:val="false"/>
          </w:tcPr>
          <w:p>
            <w:hyperlink r:id="rId27">
              <w:r>
                <w:rPr>
                  <w:rStyle w:val="Hyperlink"/>
                </w:rPr>
                <w:t xml:space="preserve">SF 294</w:t>
              </w:r>
            </w:hyperlink>
          </w:p>
          <w:p>
            <w:hyperlink r:id="rId28">
              <w:r>
                <w:rPr>
                  <w:rStyle w:val="Hyperlink"/>
                </w:rPr>
                <w:t xml:space="preserve">CO:HF 127</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Subcommittee: Schultz, Bisignano, and Bousselot. (2/20/23)</w:t>
            </w:r>
          </w:p>
        </w:tc>
        <w:tc>
          <w:tcPr>
            <w:tcW w:w="4320" w:type="dxa"/>
            <w:noWrap w:val="false"/>
          </w:tcPr>
          <w:p>
            <w:pPr>
              <w:spacing w:before="0" w:after="0"/>
            </w:pPr>
            <w:r>
              <w:t>Support/For</w:t>
            </w:r>
          </w:p>
        </w:tc>
      </w:tr>
      <w:tr>
        <w:trPr>
          <w:cantSplit w:val="true"/>
        </w:trPr>
        <w:tc>
          <w:tcPr>
            <w:tcW w:w="2160" w:type="dxa"/>
            <w:noWrap w:val="false"/>
          </w:tcPr>
          <w:p>
            <w:hyperlink r:id="rId29">
              <w:r>
                <w:rPr>
                  <w:rStyle w:val="Hyperlink"/>
                </w:rPr>
                <w:t xml:space="preserve">SF 432</w:t>
              </w:r>
            </w:hyperlink>
          </w:p>
        </w:tc>
        <w:tc>
          <w:tcPr>
            <w:tcW w:w="3600" w:type="dxa"/>
            <w:noWrap w:val="false"/>
          </w:tcPr>
          <w:p>
            <w:r>
              <w:rPr>
                <w:sz w:val="20"/>
              </w:rPr>
              <w:t>A bill for an act designating peace officers employed by regents institutions as public safety employees for purposes of public employee collective bargaining and including applicability provisions.</w:t>
            </w:r>
          </w:p>
        </w:tc>
        <w:tc>
          <w:tcPr>
            <w:tcW w:w="4320" w:type="dxa"/>
            <w:noWrap w:val="false"/>
          </w:tcPr>
          <w:p>
            <w:r>
              <w:rPr>
                <w:sz w:val="20"/>
              </w:rPr>
              <w:t>Subcommittee: Schultz, Dickey, and Donahue. (2/28/23)</w:t>
            </w:r>
          </w:p>
        </w:tc>
        <w:tc>
          <w:tcPr>
            <w:tcW w:w="4320" w:type="dxa"/>
            <w:noWrap w:val="false"/>
          </w:tcPr>
          <w:p>
            <w:pPr>
              <w:spacing w:before="0" w:after="0"/>
            </w:pPr>
            <w:r>
              <w:t/>
            </w:r>
          </w:p>
        </w:tc>
      </w:tr>
      <w:tr>
        <w:trPr>
          <w:cantSplit w:val="true"/>
        </w:trPr>
        <w:tc>
          <w:tcPr>
            <w:tcW w:w="2160" w:type="dxa"/>
            <w:noWrap w:val="false"/>
          </w:tcPr>
          <w:p>
            <w:hyperlink r:id="rId30">
              <w:r>
                <w:rPr>
                  <w:rStyle w:val="Hyperlink"/>
                </w:rPr>
                <w:t xml:space="preserve">SF 446</w:t>
              </w:r>
            </w:hyperlink>
          </w:p>
          <w:p>
            <w:hyperlink r:id="rId31">
              <w:r>
                <w:rPr>
                  <w:rStyle w:val="Hyperlink"/>
                </w:rPr>
                <w:t xml:space="preserve">CO:SF 32</w:t>
              </w:r>
            </w:hyperlink>
          </w:p>
        </w:tc>
        <w:tc>
          <w:tcPr>
            <w:tcW w:w="3600" w:type="dxa"/>
            <w:noWrap w:val="false"/>
          </w:tcPr>
          <w:p>
            <w:r>
              <w:rPr>
                <w:sz w:val="20"/>
              </w:rPr>
              <w:t>A bill for an act relating to required considerations by a county compensation board.(Formerly SF 32.)</w:t>
            </w:r>
          </w:p>
        </w:tc>
        <w:tc>
          <w:tcPr>
            <w:tcW w:w="4320" w:type="dxa"/>
            <w:noWrap w:val="false"/>
          </w:tcPr>
          <w:p>
            <w:r>
              <w:rPr>
                <w:sz w:val="20"/>
              </w:rPr>
              <w:t>Committee report, approving bill. (2/28/23)</w:t>
            </w:r>
          </w:p>
        </w:tc>
        <w:tc>
          <w:tcPr>
            <w:tcW w:w="4320" w:type="dxa"/>
            <w:noWrap w:val="false"/>
          </w:tcPr>
          <w:p>
            <w:pPr>
              <w:spacing w:before="0" w:after="0"/>
            </w:pPr>
            <w:r>
              <w:t>Monitor/Undecided</w:t>
            </w:r>
          </w:p>
        </w:tc>
      </w:tr>
      <w:tr>
        <w:trPr>
          <w:cantSplit w:val="true"/>
        </w:trPr>
        <w:tc>
          <w:tcPr>
            <w:tcW w:w="2160" w:type="dxa"/>
            <w:noWrap w:val="false"/>
          </w:tcPr>
          <w:p>
            <w:hyperlink r:id="rId32">
              <w:r>
                <w:rPr>
                  <w:rStyle w:val="Hyperlink"/>
                </w:rPr>
                <w:t xml:space="preserve">SF 447</w:t>
              </w:r>
            </w:hyperlink>
          </w:p>
          <w:p>
            <w:hyperlink r:id="rId33">
              <w:r>
                <w:rPr>
                  <w:rStyle w:val="Hyperlink"/>
                </w:rPr>
                <w:t xml:space="preserve">CO:HF 193</w:t>
              </w:r>
            </w:hyperlink>
          </w:p>
        </w:tc>
        <w:tc>
          <w:tcPr>
            <w:tcW w:w="3600" w:type="dxa"/>
            <w:noWrap w:val="false"/>
          </w:tcPr>
          <w:p>
            <w:r>
              <w:rPr>
                <w:sz w:val="20"/>
              </w:rPr>
              <w:t>A bill for an act authorizing length of service award programs for volunteer fire fighters, volunteer emergency medical care providers, and reserve peace officers, and making appropriations.(Formerly SF 272.)</w:t>
            </w:r>
          </w:p>
        </w:tc>
        <w:tc>
          <w:tcPr>
            <w:tcW w:w="4320" w:type="dxa"/>
            <w:noWrap w:val="false"/>
          </w:tcPr>
          <w:p>
            <w:r>
              <w:rPr>
                <w:sz w:val="20"/>
              </w:rPr>
              <w:t>Subcommittee: Zumbach, Giddens, and Kraayenbrink. (3/8/23)</w:t>
            </w:r>
          </w:p>
        </w:tc>
        <w:tc>
          <w:tcPr>
            <w:tcW w:w="4320" w:type="dxa"/>
            <w:noWrap w:val="false"/>
          </w:tcPr>
          <w:p>
            <w:pPr>
              <w:spacing w:before="0" w:after="0"/>
            </w:pPr>
            <w:r>
              <w:t/>
            </w:r>
          </w:p>
        </w:tc>
      </w:tr>
      <w:tr>
        <w:trPr>
          <w:cantSplit w:val="true"/>
        </w:trPr>
        <w:tc>
          <w:tcPr>
            <w:tcW w:w="2160" w:type="dxa"/>
            <w:noWrap w:val="false"/>
          </w:tcPr>
          <w:p>
            <w:hyperlink r:id="rId34">
              <w:r>
                <w:rPr>
                  <w:rStyle w:val="Hyperlink"/>
                </w:rPr>
                <w:t xml:space="preserve">SF 448</w:t>
              </w:r>
            </w:hyperlink>
          </w:p>
          <w:p>
            <w:hyperlink r:id="rId35">
              <w:r>
                <w:rPr>
                  <w:rStyle w:val="Hyperlink"/>
                </w:rPr>
                <w:t xml:space="preserve">CO:SF 170</w:t>
              </w:r>
            </w:hyperlink>
          </w:p>
        </w:tc>
        <w:tc>
          <w:tcPr>
            <w:tcW w:w="3600" w:type="dxa"/>
            <w:noWrap w:val="false"/>
          </w:tcPr>
          <w:p>
            <w:r>
              <w:rPr>
                <w:sz w:val="20"/>
              </w:rPr>
              <w:t>A bill for an act relating to the composition and procedures of county compensation boards.(Formerly SF 170.)</w:t>
            </w:r>
          </w:p>
        </w:tc>
        <w:tc>
          <w:tcPr>
            <w:tcW w:w="4320" w:type="dxa"/>
            <w:noWrap w:val="false"/>
          </w:tcPr>
          <w:p>
            <w:r>
              <w:rPr>
                <w:sz w:val="20"/>
              </w:rPr>
              <w:t>Committee report, approving bill. (2/28/23)</w:t>
            </w:r>
          </w:p>
        </w:tc>
        <w:tc>
          <w:tcPr>
            <w:tcW w:w="4320" w:type="dxa"/>
            <w:noWrap w:val="false"/>
          </w:tcPr>
          <w:p>
            <w:pPr>
              <w:spacing w:before="0" w:after="0"/>
            </w:pPr>
            <w:r>
              <w:t>Monitor/Undecided</w:t>
            </w:r>
          </w:p>
        </w:tc>
      </w:tr>
      <w:tr>
        <w:trPr>
          <w:cantSplit w:val="true"/>
        </w:trPr>
        <w:tc>
          <w:tcPr>
            <w:tcW w:w="2160" w:type="dxa"/>
            <w:noWrap w:val="false"/>
          </w:tcPr>
          <w:p>
            <w:hyperlink r:id="rId36">
              <w:r>
                <w:rPr>
                  <w:rStyle w:val="Hyperlink"/>
                </w:rPr>
                <w:t xml:space="preserve">SF 555</w:t>
              </w:r>
            </w:hyperlink>
          </w:p>
        </w:tc>
        <w:tc>
          <w:tcPr>
            <w:tcW w:w="3600" w:type="dxa"/>
            <w:noWrap w:val="false"/>
          </w:tcPr>
          <w:p>
            <w:r>
              <w:rPr>
                <w:sz w:val="20"/>
              </w:rPr>
              <w:t>A bill for an act relating to the abatement of property taxes owed on property owned by certain volunteer emergency services providers and including effective date and retroactive applicability provisions.(Formerly SF 113.)</w:t>
            </w:r>
          </w:p>
        </w:tc>
        <w:tc>
          <w:tcPr>
            <w:tcW w:w="4320" w:type="dxa"/>
            <w:noWrap w:val="false"/>
          </w:tcPr>
          <w:p>
            <w:r>
              <w:rPr>
                <w:sz w:val="20"/>
              </w:rPr>
              <w:t>Placed on calendar under unfinished business. (3/30/23)</w:t>
            </w:r>
          </w:p>
        </w:tc>
        <w:tc>
          <w:tcPr>
            <w:tcW w:w="4320" w:type="dxa"/>
            <w:noWrap w:val="false"/>
          </w:tcPr>
          <w:p>
            <w:pPr>
              <w:spacing w:before="0" w:after="0"/>
            </w:pPr>
            <w:r>
              <w:t/>
            </w:r>
          </w:p>
        </w:tc>
      </w:tr>
      <w:tr>
        <w:trPr>
          <w:cantSplit w:val="true"/>
        </w:trPr>
        <w:tc>
          <w:tcPr>
            <w:tcW w:w="2160" w:type="dxa"/>
            <w:noWrap w:val="false"/>
          </w:tcPr>
          <w:p>
            <w:hyperlink r:id="rId37">
              <w:r>
                <w:rPr>
                  <w:rStyle w:val="Hyperlink"/>
                </w:rPr>
                <w:t xml:space="preserve">SF 562</w:t>
              </w:r>
            </w:hyperlink>
          </w:p>
        </w:tc>
        <w:tc>
          <w:tcPr>
            <w:tcW w:w="3600" w:type="dxa"/>
            <w:noWrap w:val="false"/>
          </w:tcPr>
          <w:p>
            <w:r>
              <w:rPr>
                <w:sz w:val="20"/>
              </w:rPr>
              <w:t>A bill for an act relating to appropriations to the justice system.(Formerly SSB 1214.)</w:t>
            </w:r>
          </w:p>
        </w:tc>
        <w:tc>
          <w:tcPr>
            <w:tcW w:w="4320" w:type="dxa"/>
            <w:noWrap w:val="false"/>
          </w:tcPr>
          <w:p>
            <w:r>
              <w:rPr>
                <w:sz w:val="20"/>
              </w:rPr>
              <w:t>Committee report, approving bill. (4/4/23)</w:t>
            </w:r>
          </w:p>
        </w:tc>
        <w:tc>
          <w:tcPr>
            <w:tcW w:w="4320" w:type="dxa"/>
            <w:noWrap w:val="false"/>
          </w:tcPr>
          <w:p>
            <w:pPr>
              <w:spacing w:before="0" w:after="0"/>
            </w:pPr>
            <w:r>
              <w:t/>
            </w:r>
          </w:p>
        </w:tc>
      </w:tr>
      <w:tr>
        <w:trPr>
          <w:cantSplit w:val="true"/>
        </w:trPr>
        <w:tc>
          <w:tcPr>
            <w:tcW w:w="2160" w:type="dxa"/>
            <w:noWrap w:val="false"/>
          </w:tcPr>
          <w:p>
            <w:hyperlink r:id="rId38">
              <w:r>
                <w:rPr>
                  <w:rStyle w:val="Hyperlink"/>
                </w:rPr>
                <w:t xml:space="preserve">SF 570</w:t>
              </w:r>
            </w:hyperlink>
          </w:p>
        </w:tc>
        <w:tc>
          <w:tcPr>
            <w:tcW w:w="3600" w:type="dxa"/>
            <w:noWrap w:val="false"/>
          </w:tcPr>
          <w:p>
            <w:r>
              <w:rPr>
                <w:sz w:val="20"/>
              </w:rPr>
              <w:t>A bill for an act relating to emergency management services and emergency medical services and including applicability provisions.(Formerly SF 352, SF 41.)</w:t>
            </w:r>
          </w:p>
        </w:tc>
        <w:tc>
          <w:tcPr>
            <w:tcW w:w="4320" w:type="dxa"/>
            <w:noWrap w:val="false"/>
          </w:tcPr>
          <w:p>
            <w:r>
              <w:rPr>
                <w:sz w:val="20"/>
              </w:rPr>
              <w:t>Committee report, approving bill. (4/20/23)</w:t>
            </w:r>
          </w:p>
        </w:tc>
        <w:tc>
          <w:tcPr>
            <w:tcW w:w="4320" w:type="dxa"/>
            <w:noWrap w:val="false"/>
          </w:tcPr>
          <w:p>
            <w:pPr>
              <w:spacing w:before="0" w:after="0"/>
            </w:pPr>
            <w:r>
              <w:t/>
            </w:r>
          </w:p>
        </w:tc>
      </w:tr>
    </w:tbl>
    <w:sectPr>
      <w:headerReference w:type="default" r:id="rId3"/>
      <w:footerReference w:type="default" r:id="rId4"/>
      <w:type w:val="nextPage"/>
      <w:pgSz w:w="15840" w:h="12240" w:orient="landscape"/>
      <w:pgMar w:top="1266"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Gill Sans MT">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lang w:val="en-US"/>
      </w:rPr>
      <w:t xml:space="preserve">PAGE </w:t>
    </w:r>
    <w:r>
      <w:rPr/>
      <w:fldChar w:fldCharType="begin"/>
    </w:r>
    <w:r>
      <w:rPr/>
      <w:instrText> PAGE </w:instrText>
    </w:r>
    <w:r>
      <w:rPr/>
      <w:fldChar w:fldCharType="separate"/>
    </w:r>
    <w:r>
      <w:rPr/>
      <w:t>1</w:t>
    </w:r>
    <w:r>
      <w:rPr/>
      <w:fldChar w:fldCharType="end"/>
    </w:r>
    <w:r>
      <w:rPr>
        <w:rFonts w:ascii="Cambria" w:hAnsi="Cambria"/>
        <w:sz w:val="18"/>
        <w:szCs w:val="18"/>
        <w:lang w:val="en-US"/>
      </w:rPr>
      <w:t xml:space="preserve"> - </w:t>
    </w:r>
    <w:r>
      <w:rPr/>
      <w:fldChar w:fldCharType="begin"/>
    </w:r>
    <w:r>
      <w:rPr/>
      <w:instrText> DATE \@"M\/d\/yy" </w:instrText>
    </w:r>
    <w:r>
      <w:rPr/>
      <w:fldChar w:fldCharType="separate"/>
    </w:r>
    <w:r>
      <w:rPr/>
      <w:t>12/12/22</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Body"/>
      <w:spacing w:before="0" w:after="0" w:line="240" w:lineRule="auto"/>
      <w:jc w:val="center"/>
      <w:rPr/>
    </w:pPr>
    <w:r>
      <w:rPr>
        <w:rFonts w:ascii="Gill Sans MT" w:hAnsi="Gill Sans MT" w:eastAsia="Gill Sans MT" w:cs="Gill Sans MT"/>
        <w:outline w:val="false"/>
        <w:color w:val="1B255B"/>
        <w:sz w:val="48"/>
        <w:szCs w:val="48"/>
        <w:u w:val="none" w:color="1B255B"/>
        <w:lang w:val="de-DE"/>
      </w:rPr>
      <w:t>NENA 2023 Bill Tracker</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5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true">
    <w:name w:val="Normal"/>
    <w:qFormat/>
    <w:pPr>
      <w:keepNext w:val="false"/>
      <w:keepLines w:val="false"/>
      <w:pageBreakBefore w:val="false"/>
      <w:widowControl/>
      <w:shd w:val="clear" w:color="auto" w:fill="auto"/>
      <w:suppressAutoHyphens w:val="false"/>
      <w:bidi w:val="false"/>
      <w:spacing w:before="0" w:beforeAutospacing="false" w:after="0" w:afterAutospacing="false" w:line="240" w:lineRule="auto"/>
      <w:ind w:left="0" w:right="0" w:hanging="0"/>
      <w:jc w:val="left"/>
    </w:pPr>
    <w:rPr>
      <w:rFonts w:ascii="Gill Sans MT"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character" w:styleId="DefaultParagraphFont" w:default="true">
    <w:name w:val="Default Paragraph Font"/>
    <w:qFormat/>
    <w:rPr/>
  </w:style>
  <w:style w:type="character" w:styleId="InternetLink">
    <w:name w:val="Hyperlink"/>
    <w:rPr>
      <w:rFonts w:ascii="Gill Sans MT"/>
      <w:b w:val="true"/>
      <w:color w:val="000000"/>
      <w:sz w:val="22"/>
      <w:u w:val="single" w:color="000000"/>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Body">
    <w:name w:val="Body"/>
    <w:qFormat/>
    <w:pPr>
      <w:keepNext w:val="false"/>
      <w:keepLines w:val="false"/>
      <w:pageBreakBefore w:val="false"/>
      <w:widowControl/>
      <w:shd w:val="clear" w:color="auto" w:fill="auto"/>
      <w:suppressAutoHyphens w:val="true"/>
      <w:bidi w:val="false"/>
      <w:spacing w:before="0" w:beforeAutospacing="false" w:after="120" w:afterAutospacing="false" w:line="276" w:lineRule="auto"/>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A"/>
      <w:spacing w:val="0"/>
      <w:w w:val="100"/>
      <w:kern w:val="0"/>
      <w:position w:val="0"/>
      <w:sz w:val="22"/>
      <w:szCs w:val="22"/>
      <w:u w:val="none" w:color="00000A"/>
      <w:shd w:val="clear" w:fill="auto"/>
      <w:vertAlign w:val="baseline"/>
      <w:lang w:val="de-DE" w:eastAsia="zh-CN" w:bidi="hi-IN"/>
    </w:rPr>
  </w:style>
  <w:style w:type="paragraph" w:styleId="HeaderandFooter">
    <w:name w:val="Header and Footer"/>
    <w:basedOn w:val="Normal"/>
    <w:qFormat/>
    <w:pPr/>
    <w:rPr/>
  </w:style>
  <w:style w:type="paragraph" w:styleId="Footer">
    <w:name w:val="Footer"/>
    <w:pPr>
      <w:keepNext w:val="false"/>
      <w:keepLines w:val="false"/>
      <w:pageBreakBefore w:val="false"/>
      <w:widowControl/>
      <w:shd w:val="clear" w:color="auto" w:fill="auto"/>
      <w:tabs>
        <w:tab w:val="clear" w:pos="720"/>
        <w:tab w:val="center" w:leader="none" w:pos="4680"/>
        <w:tab w:val="right" w:leader="none" w:pos="9360"/>
      </w:tabs>
      <w:suppressAutoHyphens w:val="true"/>
      <w:bidi w:val="false"/>
      <w:spacing w:before="0" w:beforeAutospacing="false" w:after="0" w:afterAutospacing="false" w:line="240" w:lineRule="auto"/>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A"/>
      <w:spacing w:val="0"/>
      <w:w w:val="100"/>
      <w:kern w:val="0"/>
      <w:position w:val="0"/>
      <w:sz w:val="22"/>
      <w:szCs w:val="22"/>
      <w:u w:val="none" w:color="00000A"/>
      <w:shd w:val="clear" w:fill="auto"/>
      <w:vertAlign w:val="baseline"/>
      <w:lang w:val="en-US" w:eastAsia="zh-CN" w:bidi="hi-IN"/>
    </w:rPr>
  </w:style>
  <w:style w:type="paragraph" w:styleId="Header">
    <w:name w:val="Header"/>
    <w:basedOn w:val="HeaderandFooter"/>
    <w:pPr/>
    <w:rPr/>
  </w:style>
  <w:style w:type="numbering" w:styleId="NoList" w:default="true">
    <w:name w:val="No List"/>
    <w:qFormat/>
  </w:style>
  <w:style w:type="table" w:styleId="Table Normal" w:default="true">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media/image1.jpeg" Type="http://schemas.openxmlformats.org/officeDocument/2006/relationships/image" Id="rId2"></Relationship><Relationship Target="header1.xml" Type="http://schemas.openxmlformats.org/officeDocument/2006/relationships/header" Id="rId3"></Relationship><Relationship Target="footer1.xml" Type="http://schemas.openxmlformats.org/officeDocument/2006/relationships/footer" Id="rId4"></Relationship><Relationship Target="fontTable.xml" Type="http://schemas.openxmlformats.org/officeDocument/2006/relationships/fontTable" Id="rId5"></Relationship><Relationship Target="settings.xml" Type="http://schemas.openxmlformats.org/officeDocument/2006/relationships/settings" Id="rId6"></Relationship><Relationship Target="theme/theme1.xml" Type="http://schemas.openxmlformats.org/officeDocument/2006/relationships/theme" Id="rId7"></Relationship><Relationship TargetMode="External" Target="https://www.legis.iowa.gov/legislation/BillBook?ga=90&amp;ba=HF127" Type="http://schemas.openxmlformats.org/officeDocument/2006/relationships/hyperlink" Id="rId8"/><Relationship TargetMode="External" Target="https://www.legis.iowa.gov/legislation/BillBook?ga=90&amp;ba=SF294" Type="http://schemas.openxmlformats.org/officeDocument/2006/relationships/hyperlink" Id="rId9"/><Relationship TargetMode="External" Target="https://www.legis.iowa.gov/legislation/BillBook?ga=90&amp;ba=SF294" Type="http://schemas.openxmlformats.org/officeDocument/2006/relationships/hyperlink" Id="rId10"/><Relationship TargetMode="External" Target="https://www.legis.iowa.gov/legislation/BillBook?ga=90&amp;ba=HF127" Type="http://schemas.openxmlformats.org/officeDocument/2006/relationships/hyperlink" Id="rId11"/><Relationship TargetMode="External" Target="https://www.legis.iowa.gov/legislation/BillBook?ga=90&amp;ba=SF514" Type="http://schemas.openxmlformats.org/officeDocument/2006/relationships/hyperlink" Id="rId12"/><Relationship TargetMode="External" Target="https://www.legis.iowa.gov/legislation/BillBook?ga=90&amp;ba=HF314" Type="http://schemas.openxmlformats.org/officeDocument/2006/relationships/hyperlink" Id="rId13"/><Relationship TargetMode="External" Target="https://www.legis.iowa.gov/legislation/BillBook?ga=90&amp;ba=HF75" Type="http://schemas.openxmlformats.org/officeDocument/2006/relationships/hyperlink" Id="rId14"/><Relationship TargetMode="External" Target="https://www.legis.iowa.gov/legislation/BillBook?ga=90&amp;ba=HF340" Type="http://schemas.openxmlformats.org/officeDocument/2006/relationships/hyperlink" Id="rId15"/><Relationship TargetMode="External" Target="https://www.legis.iowa.gov/legislation/BillBook?ga=90&amp;ba=HF193" Type="http://schemas.openxmlformats.org/officeDocument/2006/relationships/hyperlink" Id="rId16"/><Relationship TargetMode="External" Target="https://www.legis.iowa.gov/legislation/BillBook?ga=90&amp;ba=HF718" Type="http://schemas.openxmlformats.org/officeDocument/2006/relationships/hyperlink" Id="rId17"/><Relationship TargetMode="External" Target="https://www.legis.iowa.gov/legislation/BillBook?ga=90&amp;ba=HF43" Type="http://schemas.openxmlformats.org/officeDocument/2006/relationships/hyperlink" Id="rId18"/><Relationship TargetMode="External" Target="https://www.legis.iowa.gov/legislation/BillBook?ga=90&amp;ba=SF18" Type="http://schemas.openxmlformats.org/officeDocument/2006/relationships/hyperlink" Id="rId19"/><Relationship TargetMode="External" Target="https://www.legis.iowa.gov/legislation/BillBook?ga=90&amp;ba=HF117" Type="http://schemas.openxmlformats.org/officeDocument/2006/relationships/hyperlink" Id="rId20"/><Relationship TargetMode="External" Target="https://www.legis.iowa.gov/legislation/BillBook?ga=90&amp;ba=HF127" Type="http://schemas.openxmlformats.org/officeDocument/2006/relationships/hyperlink" Id="rId21"/><Relationship TargetMode="External" Target="https://www.legis.iowa.gov/legislation/BillBook?ga=90&amp;ba=SF294" Type="http://schemas.openxmlformats.org/officeDocument/2006/relationships/hyperlink" Id="rId22"/><Relationship TargetMode="External" Target="https://www.legis.iowa.gov/legislation/BillBook?ga=90&amp;ba=HF702" Type="http://schemas.openxmlformats.org/officeDocument/2006/relationships/hyperlink" Id="rId23"/><Relationship TargetMode="External" Target="https://www.legis.iowa.gov/legislation/BillBook?ga=90&amp;ba=HF705" Type="http://schemas.openxmlformats.org/officeDocument/2006/relationships/hyperlink" Id="rId24"/><Relationship TargetMode="External" Target="https://www.legis.iowa.gov/legislation/BillBook?ga=90&amp;ba=SF18" Type="http://schemas.openxmlformats.org/officeDocument/2006/relationships/hyperlink" Id="rId25"/><Relationship TargetMode="External" Target="https://www.legis.iowa.gov/legislation/BillBook?ga=90&amp;ba=HF43" Type="http://schemas.openxmlformats.org/officeDocument/2006/relationships/hyperlink" Id="rId26"/><Relationship TargetMode="External" Target="https://www.legis.iowa.gov/legislation/BillBook?ga=90&amp;ba=SF294" Type="http://schemas.openxmlformats.org/officeDocument/2006/relationships/hyperlink" Id="rId27"/><Relationship TargetMode="External" Target="https://www.legis.iowa.gov/legislation/BillBook?ga=90&amp;ba=HF127" Type="http://schemas.openxmlformats.org/officeDocument/2006/relationships/hyperlink" Id="rId28"/><Relationship TargetMode="External" Target="https://www.legis.iowa.gov/legislation/BillBook?ga=90&amp;ba=SF432" Type="http://schemas.openxmlformats.org/officeDocument/2006/relationships/hyperlink" Id="rId29"/><Relationship TargetMode="External" Target="https://www.legis.iowa.gov/legislation/BillBook?ga=90&amp;ba=SF446" Type="http://schemas.openxmlformats.org/officeDocument/2006/relationships/hyperlink" Id="rId30"/><Relationship TargetMode="External" Target="https://www.legis.iowa.gov/legislation/BillBook?ga=90&amp;ba=SF32" Type="http://schemas.openxmlformats.org/officeDocument/2006/relationships/hyperlink" Id="rId31"/><Relationship TargetMode="External" Target="https://www.legis.iowa.gov/legislation/BillBook?ga=90&amp;ba=SF447" Type="http://schemas.openxmlformats.org/officeDocument/2006/relationships/hyperlink" Id="rId32"/><Relationship TargetMode="External" Target="https://www.legis.iowa.gov/legislation/BillBook?ga=90&amp;ba=HF193" Type="http://schemas.openxmlformats.org/officeDocument/2006/relationships/hyperlink" Id="rId33"/><Relationship TargetMode="External" Target="https://www.legis.iowa.gov/legislation/BillBook?ga=90&amp;ba=SF448" Type="http://schemas.openxmlformats.org/officeDocument/2006/relationships/hyperlink" Id="rId34"/><Relationship TargetMode="External" Target="https://www.legis.iowa.gov/legislation/BillBook?ga=90&amp;ba=SF170" Type="http://schemas.openxmlformats.org/officeDocument/2006/relationships/hyperlink" Id="rId35"/><Relationship TargetMode="External" Target="https://www.legis.iowa.gov/legislation/BillBook?ga=90&amp;ba=SF555" Type="http://schemas.openxmlformats.org/officeDocument/2006/relationships/hyperlink" Id="rId36"/><Relationship TargetMode="External" Target="https://www.legis.iowa.gov/legislation/BillBook?ga=90&amp;ba=SF562" Type="http://schemas.openxmlformats.org/officeDocument/2006/relationships/hyperlink" Id="rId37"/><Relationship TargetMode="External" Target="https://www.legis.iowa.gov/legislation/BillBook?ga=90&amp;ba=SF570" Type="http://schemas.openxmlformats.org/officeDocument/2006/relationships/hyperlink" Id="rId38"/></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sx="100000" sy="100000" kx="0" ky="0" algn="b" rotWithShape="false">
              <a:srgbClr val="000000">
                <a:alpha val="35000"/>
              </a:srgbClr>
            </a:outerShdw>
          </a:effectLst>
        </a:effectStyle>
        <a:effectStyle>
          <a:effectLst>
            <a:outerShdw blurRad="38100" dist="23000" dir="5400000" sx="100000" sy="100000" kx="0" ky="0" algn="b" rotWithShape="false">
              <a:srgbClr val="000000">
                <a:alpha val="35000"/>
              </a:srgbClr>
            </a:outerShdw>
          </a:effectLst>
        </a:effectStyle>
        <a:effectStyle>
          <a:effectLst>
            <a:outerShdw blurRad="38100" dist="20000" dir="5400000" sx="100000" sy="100000" kx="0" ky="0" algn="b"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sx="100000" sy="100000" kx="0" ky="0" algn="b" rotWithShape="false">
            <a:srgbClr val="000000">
              <a:alpha val="35000"/>
            </a:srgbClr>
          </a:outerShdw>
        </a:effectLst>
        <a:sp3d/>
      </a:spPr>
      <a:bodyPr rot="0" spcFirstLastPara="true" vertOverflow="overflow" horzOverflow="overflow" vert="horz" wrap="square" lIns="45719" tIns="45719" rIns="45719" bIns="45719" numCol="1" spcCol="38100" rtlCol="false" anchor="ctr" upright="false">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blurRad="38100" dist="20000" dir="5400000" sx="100000" sy="100000" kx="0" ky="0" algn="b" rotWithShape="false">
            <a:srgbClr val="000000">
              <a:alpha val="38000"/>
            </a:srgbClr>
          </a:outerShdw>
        </a:effectLst>
        <a:sp3d/>
      </a:spPr>
      <a:bodyPr rot="0" spcFirstLastPara="true" vertOverflow="overflow" horzOverflow="overflow" vert="horz" wrap="square" lIns="91439" tIns="45719" rIns="91439" bIns="45719" numCol="1" spcCol="38100" rtlCol="false" anchor="t" upright="false">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upright="false">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txDef>
  </a:objectDefaults>
</a:theme>
</file>

<file path=docProps/app.xml><?xml version="1.0" encoding="utf-8"?>
<properties:Properties xmlns:vt="http://schemas.openxmlformats.org/officeDocument/2006/docPropsVTypes" xmlns:properties="http://schemas.openxmlformats.org/officeDocument/2006/extended-properties">
  <properties:Template/>
  <properties:Pages>1</properties:Pages>
  <properties:Words>5</properties:Words>
  <properties:Characters>20</properties:Characters>
  <properties:Paragraphs>2</properties:Paragraphs>
  <properties:TotalTime>1343</properties:TotalTime>
  <properties:CharactersWithSpaces>23</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
  <dc:description/>
  <dc:language>en-US</dc:language>
  <cp:lastModifiedBy>docx4j</cp:lastModifiedBy>
  <dcterms:modified xmlns:xsi="http://www.w3.org/2001/XMLSchema-instance" xsi:type="dcterms:W3CDTF">2022-12-12T13:28:23Z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