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767</w:t>
              </w:r>
            </w:hyperlink>
          </w:p>
          <w:p>
            <w:hyperlink r:id="rId8">
              <w:r>
                <w:rPr>
                  <w:rStyle w:val="Hyperlink"/>
                  <w:color w:val="0000FF"/>
                </w:rPr>
                <w:t xml:space="preserve">CO:SF 110</w:t>
              </w:r>
            </w:hyperlink>
          </w:p>
        </w:tc>
        <w:tc>
          <w:tcPr>
            <w:tcW w:w="3600" w:type="dxa"/>
            <w:noWrap w:val="false"/>
          </w:tcPr>
          <w:p>
            <w:r>
              <w:rPr>
                <w:sz w:val="20"/>
              </w:rPr>
              <w:t>A bill for an act concerning private sector employee drug testing. (Formerly HSB 26.) Effective date: 07/01/2025.</w:t>
            </w:r>
          </w:p>
        </w:tc>
        <w:tc>
          <w:tcPr>
            <w:tcW w:w="4320" w:type="dxa"/>
            <w:noWrap w:val="false"/>
          </w:tcPr>
          <w:p>
            <w:r>
              <w:rPr>
                <w:sz w:val="20"/>
              </w:rPr>
              <w:t>Signed by Governor . (6/6/25)</w:t>
            </w:r>
            <w:br/>
            <w:r>
              <w:rPr>
                <w:sz w:val="20"/>
              </w:rPr>
              <w:t>Passed House , yeas 60, nays 32. (3/27/25)</w:t>
            </w:r>
            <w:br/>
            <w:r>
              <w:rPr>
                <w:sz w:val="20"/>
              </w:rPr>
              <w:t>Passed Senate , yeas 31, nays 14. (5/14/25)</w:t>
            </w:r>
          </w:p>
        </w:tc>
        <w:tc>
          <w:tcPr>
            <w:tcW w:w="4320" w:type="dxa"/>
            <w:noWrap w:val="false"/>
          </w:tcPr>
          <w:p>
            <w:pPr>
              <w:spacing w:before="0" w:after="0"/>
            </w:pPr>
            <w:r>
              <w:t/>
            </w:r>
          </w:p>
        </w:tc>
      </w:tr>
      <w:tr>
        <w:trPr>
          <w:cantSplit w:val="true"/>
        </w:trPr>
        <w:tc>
          <w:tcPr>
            <w:tcW w:w="2160" w:type="dxa"/>
            <w:noWrap w:val="false"/>
          </w:tcPr>
          <w:p>
            <w:hyperlink r:id="rId9">
              <w:r>
                <w:rPr>
                  <w:rStyle w:val="Hyperlink"/>
                  <w:color w:val="0000FF"/>
                </w:rPr>
                <w:t xml:space="preserve">HF 975</w:t>
              </w:r>
            </w:hyperlink>
          </w:p>
          <w:p>
            <w:hyperlink r:id="rId10">
              <w:r>
                <w:rPr>
                  <w:rStyle w:val="Hyperlink"/>
                  <w:color w:val="0000FF"/>
                </w:rPr>
                <w:t xml:space="preserve">CO:SF 642</w:t>
              </w:r>
            </w:hyperlink>
          </w:p>
        </w:tc>
        <w:tc>
          <w:tcPr>
            <w:tcW w:w="3600" w:type="dxa"/>
            <w:noWrap w:val="false"/>
          </w:tcPr>
          <w:p>
            <w:r>
              <w:rPr>
                <w:sz w:val="20"/>
              </w:rPr>
              <w:t>A bill for an act relating to matters under the purview of the economic development authority and the Iowa finance authority including the strategic infrastructure program, brownfield, grayfield, and redevelopment tax credits, community attraction and tourism, vision Iowa, sports tourism marketing, the historic preservation tax credit, homelessness, the title guaranty board, arts and culture, and the Iowa reinvestment Act and including applicability and retroactive applicability provisions. (Formerly HSB 221.) Effective date: 07/01/2025. Applicability date: 07/01/2020.</w:t>
            </w:r>
          </w:p>
        </w:tc>
        <w:tc>
          <w:tcPr>
            <w:tcW w:w="4320" w:type="dxa"/>
            <w:noWrap w:val="false"/>
          </w:tcPr>
          <w:p>
            <w:r>
              <w:rPr>
                <w:sz w:val="20"/>
              </w:rPr>
              <w:t>Signed by Governor . (6/6/25)</w:t>
            </w:r>
            <w:br/>
            <w:r>
              <w:rPr>
                <w:sz w:val="20"/>
              </w:rPr>
              <w:t>Passed House , yeas 83, nays 8. (4/21/25)</w:t>
            </w:r>
            <w:br/>
            <w:r>
              <w:rPr>
                <w:sz w:val="20"/>
              </w:rPr>
              <w:t>Passed Senate , yeas 45, nays 5. (5/12/25)</w:t>
            </w:r>
          </w:p>
        </w:tc>
        <w:tc>
          <w:tcPr>
            <w:tcW w:w="4320" w:type="dxa"/>
            <w:noWrap w:val="false"/>
          </w:tcPr>
          <w:p>
            <w:pPr>
              <w:spacing w:before="0" w:after="0"/>
            </w:pPr>
            <w:r>
              <w:t/>
            </w:r>
          </w:p>
          <w:p>
            <w:pPr>
              <w:spacing w:before="0" w:after="0"/>
            </w:pPr>
            <w:r>
              <w:t>Passed full House 4/21 with bipartisan concerns from Reps. Thomson and Rep. Jacoby. Rep. Boden said she initially had concerns but received reassurances from DoR that they would clearly advertise these things on their website. Passed full House 83-8.</w:t>
            </w:r>
          </w:p>
          <w:p>
            <w:pPr>
              <w:spacing w:before="0" w:after="0"/>
            </w:pPr>
            <w:r>
              <w:t/>
            </w:r>
          </w:p>
        </w:tc>
      </w:tr>
      <w:tr>
        <w:trPr>
          <w:cantSplit w:val="true"/>
        </w:trPr>
        <w:tc>
          <w:tcPr>
            <w:tcW w:w="2160" w:type="dxa"/>
            <w:noWrap w:val="false"/>
          </w:tcPr>
          <w:p>
            <w:hyperlink r:id="rId11">
              <w:r>
                <w:rPr>
                  <w:rStyle w:val="Hyperlink"/>
                  <w:color w:val="0000FF"/>
                </w:rPr>
                <w:t xml:space="preserve">SF 603</w:t>
              </w:r>
            </w:hyperlink>
          </w:p>
          <w:p>
            <w:hyperlink r:id="rId12">
              <w:r>
                <w:rPr>
                  <w:rStyle w:val="Hyperlink"/>
                  <w:color w:val="0000FF"/>
                </w:rPr>
                <w:t xml:space="preserve">CO:HF 722</w:t>
              </w:r>
            </w:hyperlink>
          </w:p>
        </w:tc>
        <w:tc>
          <w:tcPr>
            <w:tcW w:w="3600" w:type="dxa"/>
            <w:noWrap w:val="false"/>
          </w:tcPr>
          <w:p>
            <w:r>
              <w:rPr>
                <w:sz w:val="20"/>
              </w:rPr>
              <w:t>A bill for an act relating to workforce compensation and training, unemployment insurance, and other functions and programs of the department of workforce development, the workforce development board, and local government entities, and including effective date provisions. (Formerly SF 222, SSB 1068.) Effective date: 03/28/2025, 07/01/2025.</w:t>
            </w:r>
          </w:p>
        </w:tc>
        <w:tc>
          <w:tcPr>
            <w:tcW w:w="4320" w:type="dxa"/>
            <w:noWrap w:val="false"/>
          </w:tcPr>
          <w:p>
            <w:r>
              <w:rPr>
                <w:sz w:val="20"/>
              </w:rPr>
              <w:t>Fiscal Note. (6/6/25)</w:t>
            </w:r>
            <w:br/>
            <w:r>
              <w:rPr>
                <w:sz w:val="20"/>
              </w:rPr>
              <w:t>Passed Senate , yeas 48, nays 0. (3/12/25)</w:t>
            </w:r>
            <w:br/>
            <w:r>
              <w:rPr>
                <w:sz w:val="20"/>
              </w:rPr>
              <w:t>Passed House , yeas 64, nays 34. (3/18/25)</w:t>
            </w:r>
            <w:br/>
            <w:r>
              <w:rPr>
                <w:sz w:val="20"/>
              </w:rPr>
              <w:t>Passed Senate , yeas 32, nays 15. (3/19/25)</w:t>
            </w:r>
          </w:p>
        </w:tc>
        <w:tc>
          <w:tcPr>
            <w:tcW w:w="4320" w:type="dxa"/>
            <w:noWrap w:val="false"/>
          </w:tcPr>
          <w:p>
            <w:pPr>
              <w:spacing w:before="0" w:after="0"/>
            </w:pPr>
            <w:r>
              <w:t/>
            </w:r>
          </w:p>
        </w:tc>
      </w:tr>
      <w:tr>
        <w:trPr>
          <w:cantSplit w:val="true"/>
        </w:trPr>
        <w:tc>
          <w:tcPr>
            <w:tcW w:w="2160" w:type="dxa"/>
            <w:noWrap w:val="false"/>
          </w:tcPr>
          <w:p>
            <w:hyperlink r:id="rId13">
              <w:r>
                <w:rPr>
                  <w:rStyle w:val="Hyperlink"/>
                  <w:color w:val="0000FF"/>
                </w:rPr>
                <w:t xml:space="preserve">SF 607</w:t>
              </w:r>
            </w:hyperlink>
          </w:p>
          <w:p>
            <w:hyperlink r:id="rId14">
              <w:r>
                <w:rPr>
                  <w:rStyle w:val="Hyperlink"/>
                  <w:color w:val="0000FF"/>
                </w:rPr>
                <w:t xml:space="preserve">CO:HSB 114</w:t>
              </w:r>
            </w:hyperlink>
          </w:p>
        </w:tc>
        <w:tc>
          <w:tcPr>
            <w:tcW w:w="3600" w:type="dxa"/>
            <w:noWrap w:val="false"/>
          </w:tcPr>
          <w:p>
            <w:r>
              <w:rPr>
                <w:sz w:val="20"/>
              </w:rPr>
              <w:t>A bill for an act relating to unemployment insurance taxes on employers. (Formerly SF 504, SSB 1173.) Effective date: 07/01/2025.</w:t>
            </w:r>
          </w:p>
        </w:tc>
        <w:tc>
          <w:tcPr>
            <w:tcW w:w="4320" w:type="dxa"/>
            <w:noWrap w:val="false"/>
          </w:tcPr>
          <w:p>
            <w:r>
              <w:rPr>
                <w:sz w:val="20"/>
              </w:rPr>
              <w:t>Fiscal Note. (6/6/25)</w:t>
            </w:r>
            <w:br/>
            <w:r>
              <w:rPr>
                <w:sz w:val="20"/>
              </w:rPr>
              <w:t>Passed Senate , yeas 32, nays 16. (5/14/25)</w:t>
            </w:r>
            <w:br/>
            <w:r>
              <w:rPr>
                <w:sz w:val="20"/>
              </w:rPr>
              <w:t>Passed House , yeas 60, nays 27. (5/14/25)</w:t>
            </w:r>
          </w:p>
        </w:tc>
        <w:tc>
          <w:tcPr>
            <w:tcW w:w="4320" w:type="dxa"/>
            <w:noWrap w:val="false"/>
          </w:tcPr>
          <w:p>
            <w:pPr>
              <w:spacing w:before="0" w:after="0"/>
            </w:pPr>
            <w:r>
              <w:t/>
            </w:r>
          </w:p>
        </w:tc>
      </w:tr>
      <w:tr>
        <w:trPr>
          <w:cantSplit w:val="true"/>
        </w:trPr>
        <w:tc>
          <w:tcPr>
            <w:tcW w:w="2160" w:type="dxa"/>
            <w:noWrap w:val="false"/>
          </w:tcPr>
          <w:p>
            <w:hyperlink r:id="rId15">
              <w:r>
                <w:rPr>
                  <w:rStyle w:val="Hyperlink"/>
                  <w:color w:val="0000FF"/>
                </w:rPr>
                <w:t xml:space="preserve">SF 645</w:t>
              </w:r>
            </w:hyperlink>
          </w:p>
          <w:p>
            <w:hyperlink r:id="rId16">
              <w:r>
                <w:rPr>
                  <w:rStyle w:val="Hyperlink"/>
                  <w:color w:val="0000FF"/>
                </w:rPr>
                <w:t xml:space="preserve">CO:HF 1040</w:t>
              </w:r>
            </w:hyperlink>
          </w:p>
        </w:tc>
        <w:tc>
          <w:tcPr>
            <w:tcW w:w="3600" w:type="dxa"/>
            <w:noWrap w:val="false"/>
          </w:tcPr>
          <w:p>
            <w:r>
              <w:rPr>
                <w:sz w:val="20"/>
              </w:rPr>
              <w:t>A bill for an act relating to and making appropriations for the economic development of the state, including to the economic development authority, Iowa finance authority, department of workforce development, and the state board of regents and certain regents institutions, and extending the repeal date for the housing renewal pilot program. (Formerly SSB 1236.) Effective date: 07/01/2025</w:t>
            </w:r>
          </w:p>
        </w:tc>
        <w:tc>
          <w:tcPr>
            <w:tcW w:w="4320" w:type="dxa"/>
            <w:noWrap w:val="false"/>
          </w:tcPr>
          <w:p>
            <w:r>
              <w:rPr>
                <w:sz w:val="20"/>
              </w:rPr>
              <w:t>Signed by Governor . (6/11/25)</w:t>
            </w:r>
            <w:br/>
            <w:r>
              <w:rPr>
                <w:sz w:val="20"/>
              </w:rPr>
              <w:t>Passed Senate , yeas 34, nays 14. (5/13/25)</w:t>
            </w:r>
            <w:br/>
            <w:r>
              <w:rPr>
                <w:sz w:val="20"/>
              </w:rPr>
              <w:t>Passed House , yeas 61, nays 30. (5/13/25)</w:t>
            </w:r>
          </w:p>
        </w:tc>
        <w:tc>
          <w:tcPr>
            <w:tcW w:w="4320" w:type="dxa"/>
            <w:noWrap w:val="false"/>
          </w:tcPr>
          <w:p>
            <w:pPr>
              <w:spacing w:before="0" w:after="0"/>
            </w:pPr>
            <w:r>
              <w:t/>
            </w:r>
          </w:p>
        </w:tc>
      </w:tr>
      <w:tr>
        <w:trPr>
          <w:cantSplit w:val="true"/>
        </w:trPr>
        <w:tc>
          <w:tcPr>
            <w:tcW w:w="2160" w:type="dxa"/>
            <w:noWrap w:val="false"/>
          </w:tcPr>
          <w:p>
            <w:hyperlink r:id="rId17">
              <w:r>
                <w:rPr>
                  <w:rStyle w:val="Hyperlink"/>
                  <w:color w:val="0000FF"/>
                </w:rPr>
                <w:t xml:space="preserve">SF 657</w:t>
              </w:r>
            </w:hyperlink>
          </w:p>
          <w:p>
            <w:hyperlink r:id="rId18">
              <w:r>
                <w:rPr>
                  <w:rStyle w:val="Hyperlink"/>
                  <w:color w:val="0000FF"/>
                </w:rPr>
                <w:t xml:space="preserve">CO:HF 1054</w:t>
              </w:r>
            </w:hyperlink>
          </w:p>
        </w:tc>
        <w:tc>
          <w:tcPr>
            <w:tcW w:w="3600" w:type="dxa"/>
            <w:noWrap w:val="false"/>
          </w:tcPr>
          <w:p>
            <w:r>
              <w:rPr>
                <w:sz w:val="20"/>
              </w:rPr>
              <w:t>A bill for an act related to state taxation and finance and other related matters, by creating, modifying, and eliminating tax credits and tax incentive programs, providing for penalties, and including effective date and retroactive applicability provisions. (Formerly SSB 1205.) Effective date: 06/06/2025, 07/01/2025, 12/31/2025, 01/01/2026. Applicability date: 01/01/2017, 01/01/2025, 01/01/2026.</w:t>
            </w:r>
          </w:p>
        </w:tc>
        <w:tc>
          <w:tcPr>
            <w:tcW w:w="4320" w:type="dxa"/>
            <w:noWrap w:val="false"/>
          </w:tcPr>
          <w:p>
            <w:r>
              <w:rPr>
                <w:sz w:val="20"/>
              </w:rPr>
              <w:t>Signed by Governor (6/6/25)</w:t>
            </w:r>
            <w:br/>
            <w:r>
              <w:rPr>
                <w:sz w:val="20"/>
              </w:rPr>
              <w:t>Passed Senate , yeas 44, nays 1. (5/13/25)</w:t>
            </w:r>
            <w:br/>
            <w:r>
              <w:rPr>
                <w:sz w:val="20"/>
              </w:rPr>
              <w:t>Passed House , yeas 84, nays 3. (5/14/25)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9">
              <w:r>
                <w:rPr>
                  <w:rStyle w:val="Hyperlink"/>
                  <w:color w:val="0000FF"/>
                </w:rPr>
                <w:t xml:space="preserve">HF 109</w:t>
              </w:r>
            </w:hyperlink>
          </w:p>
        </w:tc>
        <w:tc>
          <w:tcPr>
            <w:tcW w:w="3600" w:type="dxa"/>
            <w:noWrap w:val="false"/>
          </w:tcPr>
          <w:p>
            <w:r>
              <w:rPr>
                <w:sz w:val="20"/>
              </w:rPr>
              <w:t>A bill for an act relating to the maximum amount of workforce housing tax incentives available against the individual and corporate income taxes, the franchise tax, the insurance premiums tax, and the moneys and credits tax.</w:t>
            </w:r>
          </w:p>
        </w:tc>
        <w:tc>
          <w:tcPr>
            <w:tcW w:w="4320" w:type="dxa"/>
            <w:noWrap w:val="false"/>
          </w:tcPr>
          <w:p>
            <w:r>
              <w:rPr>
                <w:sz w:val="20"/>
              </w:rPr>
              <w:t>Introduced, referred to Ways and Means. (1/22/25)</w:t>
            </w:r>
          </w:p>
        </w:tc>
        <w:tc>
          <w:tcPr>
            <w:tcW w:w="4320" w:type="dxa"/>
            <w:noWrap w:val="false"/>
          </w:tcPr>
          <w:p>
            <w:pPr>
              <w:spacing w:before="0" w:after="0"/>
            </w:pPr>
            <w:r>
              <w:t>Support/For</w:t>
            </w:r>
          </w:p>
        </w:tc>
      </w:tr>
      <w:tr>
        <w:trPr>
          <w:cantSplit w:val="true"/>
        </w:trPr>
        <w:tc>
          <w:tcPr>
            <w:tcW w:w="2160" w:type="dxa"/>
            <w:noWrap w:val="false"/>
          </w:tcPr>
          <w:p>
            <w:hyperlink r:id="rId20">
              <w:r>
                <w:rPr>
                  <w:rStyle w:val="Hyperlink"/>
                  <w:color w:val="0000FF"/>
                </w:rPr>
                <w:t xml:space="preserve">HF 171</w:t>
              </w:r>
            </w:hyperlink>
          </w:p>
          <w:p>
            <w:hyperlink r:id="rId21">
              <w:r>
                <w:rPr>
                  <w:rStyle w:val="Hyperlink"/>
                  <w:color w:val="0000FF"/>
                </w:rPr>
                <w:t xml:space="preserve">CO:SF 436</w:t>
              </w:r>
            </w:hyperlink>
          </w:p>
        </w:tc>
        <w:tc>
          <w:tcPr>
            <w:tcW w:w="3600" w:type="dxa"/>
            <w:noWrap w:val="false"/>
          </w:tcPr>
          <w:p>
            <w:r>
              <w:rPr>
                <w:sz w:val="20"/>
              </w:rPr>
              <w:t>A bill for an act removing the maximum annual amount of real estate transfer tax receipts that may be transferred into the housing trust fund.</w:t>
            </w:r>
          </w:p>
        </w:tc>
        <w:tc>
          <w:tcPr>
            <w:tcW w:w="4320" w:type="dxa"/>
            <w:noWrap w:val="false"/>
          </w:tcPr>
          <w:p>
            <w:r>
              <w:rPr>
                <w:sz w:val="20"/>
              </w:rPr>
              <w:t>Subcommittee recommends passage. (3/12/25)</w:t>
            </w:r>
          </w:p>
        </w:tc>
        <w:tc>
          <w:tcPr>
            <w:tcW w:w="4320" w:type="dxa"/>
            <w:noWrap w:val="false"/>
          </w:tcPr>
          <w:p>
            <w:pPr>
              <w:spacing w:before="0" w:after="0"/>
            </w:pPr>
            <w:r>
              <w:t/>
            </w:r>
          </w:p>
          <w:p>
            <w:pPr>
              <w:spacing w:before="0" w:after="0"/>
            </w:pPr>
            <w:r>
              <w:t>Bill had broad support from housing advocates, local governments, business groups, and financial institutions. Moved forward unanimously. </w:t>
            </w:r>
          </w:p>
          <w:p>
            <w:pPr>
              <w:spacing w:before="0" w:after="0"/>
            </w:pPr>
            <w:r>
              <w:t/>
            </w:r>
          </w:p>
        </w:tc>
      </w:tr>
      <w:tr>
        <w:trPr>
          <w:cantSplit w:val="true"/>
        </w:trPr>
        <w:tc>
          <w:tcPr>
            <w:tcW w:w="2160" w:type="dxa"/>
            <w:noWrap w:val="false"/>
          </w:tcPr>
          <w:p>
            <w:hyperlink r:id="rId22">
              <w:r>
                <w:rPr>
                  <w:rStyle w:val="Hyperlink"/>
                  <w:color w:val="0000FF"/>
                </w:rPr>
                <w:t xml:space="preserve">HF 208</w:t>
              </w:r>
            </w:hyperlink>
          </w:p>
        </w:tc>
        <w:tc>
          <w:tcPr>
            <w:tcW w:w="3600" w:type="dxa"/>
            <w:noWrap w:val="false"/>
          </w:tcPr>
          <w:p>
            <w:r>
              <w:rPr>
                <w:sz w:val="20"/>
              </w:rPr>
              <w:t>A bill for an act relating to the allocation of workforce housing tax incentives available against the individual and corporate income taxes, the franchise tax, the insurance premiums tax, and the moneys and credits tax.</w:t>
            </w:r>
          </w:p>
        </w:tc>
        <w:tc>
          <w:tcPr>
            <w:tcW w:w="4320" w:type="dxa"/>
            <w:noWrap w:val="false"/>
          </w:tcPr>
          <w:p>
            <w:r>
              <w:rPr>
                <w:sz w:val="20"/>
              </w:rPr>
              <w:t>Subcommittee recommends passage. (2/24/25)</w:t>
            </w:r>
          </w:p>
        </w:tc>
        <w:tc>
          <w:tcPr>
            <w:tcW w:w="4320" w:type="dxa"/>
            <w:noWrap w:val="false"/>
          </w:tcPr>
          <w:p>
            <w:pPr>
              <w:spacing w:before="0" w:after="0"/>
            </w:pPr>
            <w:r>
              <w:t/>
            </w:r>
          </w:p>
          <w:p>
            <w:pPr>
              <w:spacing w:before="0" w:after="0"/>
            </w:pPr>
            <w:r>
              <w:t>Bill introduced by Reps. Bossman, Wulf, Barker, Vondran, Lundgren, Henderson, Mohr, Smith, Siegrist, &amp; Hora. This bill specifies that no more than one-third of the remaining moneys shall be reserved for qualified housing projects wholly located in the two most populous counties in the state. This is regarding the Workforce Housing Tax Incentive Program. Groups like Iowa Chamber Alliance, Hubbell Realty, &amp; Iowa Real Estate Developers are supportive. Many comments in support talked about getting affordable, workforce housing into rural communities. Many organizations are undecided. Rep. Scheetz didn't sign on and was upset about lines 11-16 limiting Polk and Linn counties. Passed 2-1.</w:t>
            </w:r>
          </w:p>
          <w:p>
            <w:pPr>
              <w:spacing w:before="0" w:after="0"/>
            </w:pPr>
            <w:r>
              <w:t/>
            </w:r>
          </w:p>
        </w:tc>
      </w:tr>
      <w:tr>
        <w:trPr>
          <w:cantSplit w:val="true"/>
        </w:trPr>
        <w:tc>
          <w:tcPr>
            <w:tcW w:w="2160" w:type="dxa"/>
            <w:noWrap w:val="false"/>
          </w:tcPr>
          <w:p>
            <w:hyperlink r:id="rId23">
              <w:r>
                <w:rPr>
                  <w:rStyle w:val="Hyperlink"/>
                  <w:color w:val="0000FF"/>
                </w:rPr>
                <w:t xml:space="preserve">HF 1008</w:t>
              </w:r>
            </w:hyperlink>
          </w:p>
          <w:p>
            <w:hyperlink r:id="rId24">
              <w:r>
                <w:rPr>
                  <w:rStyle w:val="Hyperlink"/>
                  <w:color w:val="0000FF"/>
                </w:rPr>
                <w:t xml:space="preserve">CO:SF 655</w:t>
              </w:r>
            </w:hyperlink>
          </w:p>
        </w:tc>
        <w:tc>
          <w:tcPr>
            <w:tcW w:w="3600" w:type="dxa"/>
            <w:noWrap w:val="false"/>
          </w:tcPr>
          <w:p>
            <w:r>
              <w:rPr>
                <w:sz w:val="20"/>
              </w:rPr>
              <w:t>A bill for an act relating to the creation of land redevelopment trusts. (Formerly HF 28.)</w:t>
            </w:r>
          </w:p>
        </w:tc>
        <w:tc>
          <w:tcPr>
            <w:tcW w:w="4320" w:type="dxa"/>
            <w:noWrap w:val="false"/>
          </w:tcPr>
          <w:p>
            <w:r>
              <w:rPr>
                <w:sz w:val="20"/>
              </w:rPr>
              <w:t>Read first time, passed on file. (4/21/25)</w:t>
            </w:r>
            <w:br/>
            <w:r>
              <w:rPr>
                <w:sz w:val="20"/>
              </w:rPr>
              <w:t>Passed House , yeas 92, nays 1. (4/17/25)</w:t>
            </w:r>
          </w:p>
        </w:tc>
        <w:tc>
          <w:tcPr>
            <w:tcW w:w="4320" w:type="dxa"/>
            <w:noWrap w:val="false"/>
          </w:tcPr>
          <w:p>
            <w:pPr>
              <w:spacing w:before="0" w:after="0"/>
            </w:pPr>
            <w:r>
              <w:t/>
            </w:r>
          </w:p>
        </w:tc>
      </w:tr>
      <w:tr>
        <w:trPr>
          <w:cantSplit w:val="true"/>
        </w:trPr>
        <w:tc>
          <w:tcPr>
            <w:tcW w:w="2160" w:type="dxa"/>
            <w:noWrap w:val="false"/>
          </w:tcPr>
          <w:p>
            <w:hyperlink r:id="rId25">
              <w:r>
                <w:rPr>
                  <w:rStyle w:val="Hyperlink"/>
                  <w:color w:val="0000FF"/>
                </w:rPr>
                <w:t xml:space="preserve">SF 655</w:t>
              </w:r>
            </w:hyperlink>
          </w:p>
          <w:p>
            <w:hyperlink r:id="rId26">
              <w:r>
                <w:rPr>
                  <w:rStyle w:val="Hyperlink"/>
                  <w:color w:val="0000FF"/>
                </w:rPr>
                <w:t xml:space="preserve">CO:HF 1008</w:t>
              </w:r>
            </w:hyperlink>
          </w:p>
        </w:tc>
        <w:tc>
          <w:tcPr>
            <w:tcW w:w="3600" w:type="dxa"/>
            <w:noWrap w:val="false"/>
          </w:tcPr>
          <w:p>
            <w:r>
              <w:rPr>
                <w:sz w:val="20"/>
              </w:rPr>
              <w:t>A bill for an act relating to the creation of land redevelopment trusts.(Formerly SF 45.)</w:t>
            </w:r>
          </w:p>
        </w:tc>
        <w:tc>
          <w:tcPr>
            <w:tcW w:w="4320" w:type="dxa"/>
            <w:noWrap w:val="false"/>
          </w:tcPr>
          <w:p>
            <w:r>
              <w:rPr>
                <w:sz w:val="20"/>
              </w:rPr>
              <w:t>Committee report, approving bill. (5/9/25)</w:t>
            </w:r>
          </w:p>
        </w:tc>
        <w:tc>
          <w:tcPr>
            <w:tcW w:w="4320" w:type="dxa"/>
            <w:noWrap w:val="false"/>
          </w:tcPr>
          <w:p>
            <w:pPr>
              <w:spacing w:before="0" w:after="0"/>
            </w:pPr>
            <w:r>
              <w:t/>
            </w:r>
          </w:p>
        </w:tc>
      </w:tr>
      <w:tr>
        <w:trPr>
          <w:cantSplit w:val="true"/>
        </w:trPr>
        <w:tc>
          <w:tcPr>
            <w:tcW w:w="2160" w:type="dxa"/>
            <w:noWrap w:val="false"/>
          </w:tcPr>
          <w:p>
            <w:hyperlink r:id="rId27">
              <w:r>
                <w:rPr>
                  <w:rStyle w:val="Hyperlink"/>
                  <w:color w:val="0000FF"/>
                </w:rPr>
                <w:t xml:space="preserve">HF 1024</w:t>
              </w:r>
            </w:hyperlink>
          </w:p>
          <w:p>
            <w:hyperlink r:id="rId28">
              <w:r>
                <w:rPr>
                  <w:rStyle w:val="Hyperlink"/>
                  <w:color w:val="0000FF"/>
                </w:rPr>
                <w:t xml:space="preserve">CO:HF 110</w:t>
              </w:r>
            </w:hyperlink>
          </w:p>
        </w:tc>
        <w:tc>
          <w:tcPr>
            <w:tcW w:w="3600" w:type="dxa"/>
            <w:noWrap w:val="false"/>
          </w:tcPr>
          <w:p>
            <w:r>
              <w:rPr>
                <w:sz w:val="20"/>
              </w:rPr>
              <w:t>A bill for an act excluding overtime pay from the individual income tax, and including applicability provisions.(Formerly HF 110.)</w:t>
            </w:r>
          </w:p>
        </w:tc>
        <w:tc>
          <w:tcPr>
            <w:tcW w:w="4320" w:type="dxa"/>
            <w:noWrap w:val="false"/>
          </w:tcPr>
          <w:p>
            <w:r>
              <w:rPr>
                <w:sz w:val="20"/>
              </w:rPr>
              <w:t>Rereferred to Ways and Means. (5/15/25)</w:t>
            </w:r>
          </w:p>
        </w:tc>
        <w:tc>
          <w:tcPr>
            <w:tcW w:w="4320" w:type="dxa"/>
            <w:noWrap w:val="false"/>
          </w:tcPr>
          <w:p>
            <w:pPr>
              <w:spacing w:before="0" w:after="0"/>
            </w:pPr>
            <w:r>
              <w:t/>
            </w:r>
          </w:p>
        </w:tc>
      </w:tr>
      <w:tr>
        <w:trPr>
          <w:cantSplit w:val="true"/>
        </w:trPr>
        <w:tc>
          <w:tcPr>
            <w:tcW w:w="2160" w:type="dxa"/>
            <w:noWrap w:val="false"/>
          </w:tcPr>
          <w:p>
            <w:hyperlink r:id="rId29">
              <w:r>
                <w:rPr>
                  <w:rStyle w:val="Hyperlink"/>
                  <w:color w:val="0000FF"/>
                </w:rPr>
                <w:t xml:space="preserve">HSB 269</w:t>
              </w:r>
            </w:hyperlink>
          </w:p>
        </w:tc>
        <w:tc>
          <w:tcPr>
            <w:tcW w:w="3600" w:type="dxa"/>
            <w:noWrap w:val="false"/>
          </w:tcPr>
          <w:p>
            <w:r>
              <w:rPr>
                <w:sz w:val="20"/>
              </w:rPr>
              <w:t>A bill for an act relating to accepted forms of payment by a commercial enterprise.</w:t>
            </w:r>
          </w:p>
        </w:tc>
        <w:tc>
          <w:tcPr>
            <w:tcW w:w="4320" w:type="dxa"/>
            <w:noWrap w:val="false"/>
          </w:tcPr>
          <w:p>
            <w:r>
              <w:rPr>
                <w:sz w:val="20"/>
              </w:rPr>
              <w:t>Subcommittee: Kaufmann, Johnson, C. and Scheetz. (2/27/25)</w:t>
            </w:r>
          </w:p>
        </w:tc>
        <w:tc>
          <w:tcPr>
            <w:tcW w:w="4320" w:type="dxa"/>
            <w:noWrap w:val="false"/>
          </w:tcPr>
          <w:p>
            <w:pPr>
              <w:spacing w:before="0" w:after="0"/>
            </w:pPr>
            <w:r>
              <w:t/>
            </w:r>
          </w:p>
        </w:tc>
      </w:tr>
      <w:tr>
        <w:trPr>
          <w:cantSplit w:val="true"/>
        </w:trPr>
        <w:tc>
          <w:tcPr>
            <w:tcW w:w="2160" w:type="dxa"/>
            <w:noWrap w:val="false"/>
          </w:tcPr>
          <w:p>
            <w:hyperlink r:id="rId30">
              <w:r>
                <w:rPr>
                  <w:rStyle w:val="Hyperlink"/>
                  <w:color w:val="0000FF"/>
                </w:rPr>
                <w:t xml:space="preserve">HSB 304</w:t>
              </w:r>
            </w:hyperlink>
          </w:p>
        </w:tc>
        <w:tc>
          <w:tcPr>
            <w:tcW w:w="3600" w:type="dxa"/>
            <w:noWrap w:val="false"/>
          </w:tcPr>
          <w:p>
            <w:r>
              <w:rPr>
                <w:sz w:val="20"/>
              </w:rPr>
              <w:t>A bill for an act modifying property tax calculations, and including applicability provisions.</w:t>
            </w:r>
          </w:p>
        </w:tc>
        <w:tc>
          <w:tcPr>
            <w:tcW w:w="4320" w:type="dxa"/>
            <w:noWrap w:val="false"/>
          </w:tcPr>
          <w:p>
            <w:r>
              <w:rPr>
                <w:sz w:val="20"/>
              </w:rPr>
              <w:t>Subcommittee: Kaufmann, Hermanson and Jacoby. (3/5/25)</w:t>
            </w:r>
          </w:p>
        </w:tc>
        <w:tc>
          <w:tcPr>
            <w:tcW w:w="4320" w:type="dxa"/>
            <w:noWrap w:val="false"/>
          </w:tcPr>
          <w:p>
            <w:pPr>
              <w:spacing w:before="0" w:after="0"/>
            </w:pPr>
            <w:r>
              <w:t/>
            </w:r>
          </w:p>
        </w:tc>
      </w:tr>
      <w:tr>
        <w:trPr>
          <w:cantSplit w:val="true"/>
        </w:trPr>
        <w:tc>
          <w:tcPr>
            <w:tcW w:w="2160" w:type="dxa"/>
            <w:noWrap w:val="false"/>
          </w:tcPr>
          <w:p>
            <w:hyperlink r:id="rId31">
              <w:r>
                <w:rPr>
                  <w:rStyle w:val="Hyperlink"/>
                  <w:color w:val="0000FF"/>
                </w:rPr>
                <w:t xml:space="preserve">HSB 313</w:t>
              </w:r>
            </w:hyperlink>
          </w:p>
          <w:p>
            <w:hyperlink r:id="rId32">
              <w:r>
                <w:rPr>
                  <w:rStyle w:val="Hyperlink"/>
                  <w:color w:val="0000FF"/>
                </w:rPr>
                <w:t xml:space="preserve">CO:SSB 1208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passage. (3/26/25)</w:t>
            </w:r>
          </w:p>
        </w:tc>
        <w:tc>
          <w:tcPr>
            <w:tcW w:w="4320" w:type="dxa"/>
            <w:noWrap w:val="false"/>
          </w:tcPr>
          <w:p>
            <w:pPr>
              <w:spacing w:before="0" w:after="0"/>
            </w:pPr>
            <w:r>
              <w:t/>
            </w:r>
          </w:p>
        </w:tc>
      </w:tr>
      <w:tr>
        <w:trPr>
          <w:cantSplit w:val="true"/>
        </w:trPr>
        <w:tc>
          <w:tcPr>
            <w:tcW w:w="2160" w:type="dxa"/>
            <w:noWrap w:val="false"/>
          </w:tcPr>
          <w:p>
            <w:hyperlink r:id="rId33">
              <w:r>
                <w:rPr>
                  <w:rStyle w:val="Hyperlink"/>
                  <w:color w:val="0000FF"/>
                </w:rPr>
                <w:t xml:space="preserve">SSB 1208</w:t>
              </w:r>
            </w:hyperlink>
          </w:p>
          <w:p>
            <w:hyperlink r:id="rId34">
              <w:r>
                <w:rPr>
                  <w:rStyle w:val="Hyperlink"/>
                  <w:color w:val="0000FF"/>
                </w:rPr>
                <w:t xml:space="preserve">CO:HSB 313</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recommends amendment and passage. (3/27/25)</w:t>
            </w:r>
          </w:p>
        </w:tc>
        <w:tc>
          <w:tcPr>
            <w:tcW w:w="4320" w:type="dxa"/>
            <w:noWrap w:val="false"/>
          </w:tcPr>
          <w:p>
            <w:pPr>
              <w:spacing w:before="0" w:after="0"/>
            </w:pPr>
            <w:r>
              <w:t/>
            </w:r>
          </w:p>
        </w:tc>
      </w:tr>
      <w:tr>
        <w:trPr>
          <w:cantSplit w:val="true"/>
        </w:trPr>
        <w:tc>
          <w:tcPr>
            <w:tcW w:w="2160" w:type="dxa"/>
            <w:noWrap w:val="false"/>
          </w:tcPr>
          <w:p>
            <w:hyperlink r:id="rId35">
              <w:r>
                <w:rPr>
                  <w:rStyle w:val="Hyperlink"/>
                  <w:color w:val="0000FF"/>
                </w:rPr>
                <w:t xml:space="preserve">HSB 324</w:t>
              </w:r>
            </w:hyperlink>
          </w:p>
          <w:p>
            <w:hyperlink r:id="rId36">
              <w:r>
                <w:rPr>
                  <w:rStyle w:val="Hyperlink"/>
                  <w:color w:val="0000FF"/>
                </w:rPr>
                <w:t xml:space="preserve">CO:SSB 1229</w:t>
              </w:r>
            </w:hyperlink>
          </w:p>
        </w:tc>
        <w:tc>
          <w:tcPr>
            <w:tcW w:w="3600" w:type="dxa"/>
            <w:noWrap w:val="false"/>
          </w:tcPr>
          <w:p>
            <w:r>
              <w:rPr>
                <w:sz w:val="20"/>
              </w:rPr>
              <w:t>A bill for an act excluding interchange fees imposed upon certain taxes at points of sale.</w:t>
            </w:r>
          </w:p>
        </w:tc>
        <w:tc>
          <w:tcPr>
            <w:tcW w:w="4320" w:type="dxa"/>
            <w:noWrap w:val="false"/>
          </w:tcPr>
          <w:p>
            <w:r>
              <w:rPr>
                <w:sz w:val="20"/>
              </w:rPr>
              <w:t>Subcommittee recommends passage. (4/9/25)</w:t>
            </w:r>
          </w:p>
        </w:tc>
        <w:tc>
          <w:tcPr>
            <w:tcW w:w="4320" w:type="dxa"/>
            <w:noWrap w:val="false"/>
          </w:tcPr>
          <w:p>
            <w:pPr>
              <w:spacing w:before="0" w:after="0"/>
            </w:pPr>
            <w:r>
              <w:t/>
            </w:r>
          </w:p>
          <w:p>
            <w:pPr>
              <w:spacing w:before="0" w:after="0"/>
            </w:pPr>
            <w:r>
              <w:t>This bill brought forth a retailers vs. banks and credit unions debate. The Retail Federation, the Restaurant Association, and fuel retailers spoke in favor, while banks and credit unions opposed. The bill moved forward, but it was clear they see this as an interim project. </w:t>
            </w:r>
          </w:p>
          <w:p>
            <w:pPr>
              <w:spacing w:before="0" w:after="0"/>
            </w:pPr>
            <w:r>
              <w:t/>
            </w:r>
          </w:p>
        </w:tc>
      </w:tr>
      <w:tr>
        <w:trPr>
          <w:cantSplit w:val="true"/>
        </w:trPr>
        <w:tc>
          <w:tcPr>
            <w:tcW w:w="2160" w:type="dxa"/>
            <w:noWrap w:val="false"/>
          </w:tcPr>
          <w:p>
            <w:hyperlink r:id="rId37">
              <w:r>
                <w:rPr>
                  <w:rStyle w:val="Hyperlink"/>
                  <w:color w:val="0000FF"/>
                </w:rPr>
                <w:t xml:space="preserve">SSB 1229</w:t>
              </w:r>
            </w:hyperlink>
          </w:p>
          <w:p>
            <w:hyperlink r:id="rId38">
              <w:r>
                <w:rPr>
                  <w:rStyle w:val="Hyperlink"/>
                  <w:color w:val="0000FF"/>
                </w:rPr>
                <w:t xml:space="preserve">CO:HSB 324</w:t>
              </w:r>
            </w:hyperlink>
          </w:p>
        </w:tc>
        <w:tc>
          <w:tcPr>
            <w:tcW w:w="3600" w:type="dxa"/>
            <w:noWrap w:val="false"/>
          </w:tcPr>
          <w:p>
            <w:r>
              <w:rPr>
                <w:sz w:val="20"/>
              </w:rPr>
              <w:t>A bill for an act excluding interchange fees imposed upon certain taxes at points of sale.</w:t>
            </w:r>
          </w:p>
        </w:tc>
        <w:tc>
          <w:tcPr>
            <w:tcW w:w="4320" w:type="dxa"/>
            <w:noWrap w:val="false"/>
          </w:tcPr>
          <w:p>
            <w:r>
              <w:rPr>
                <w:sz w:val="20"/>
              </w:rPr>
              <w:t>Subcommittee: Schultz, Bisignano, and Gruenhagen. (4/21/25)</w:t>
            </w:r>
          </w:p>
        </w:tc>
        <w:tc>
          <w:tcPr>
            <w:tcW w:w="4320" w:type="dxa"/>
            <w:noWrap w:val="false"/>
          </w:tcPr>
          <w:p>
            <w:pPr>
              <w:spacing w:before="0" w:after="0"/>
            </w:pPr>
            <w:r>
              <w:t/>
            </w:r>
          </w:p>
        </w:tc>
      </w:tr>
      <w:tr>
        <w:trPr>
          <w:cantSplit w:val="true"/>
        </w:trPr>
        <w:tc>
          <w:tcPr>
            <w:tcW w:w="2160" w:type="dxa"/>
            <w:noWrap w:val="false"/>
          </w:tcPr>
          <w:p>
            <w:hyperlink r:id="rId39">
              <w:r>
                <w:rPr>
                  <w:rStyle w:val="Hyperlink"/>
                  <w:color w:val="0000FF"/>
                </w:rPr>
                <w:t xml:space="preserve">HSB 328</w:t>
              </w:r>
            </w:hyperlink>
          </w:p>
          <w:p>
            <w:hyperlink r:id="rId40">
              <w:r>
                <w:rPr>
                  <w:rStyle w:val="Hyperlink"/>
                  <w:color w:val="0000FF"/>
                </w:rPr>
                <w:t xml:space="preserve">CO:SF 651</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w:t>
            </w:r>
          </w:p>
        </w:tc>
        <w:tc>
          <w:tcPr>
            <w:tcW w:w="4320" w:type="dxa"/>
            <w:noWrap w:val="false"/>
          </w:tcPr>
          <w:p>
            <w:r>
              <w:rPr>
                <w:sz w:val="20"/>
              </w:rPr>
              <w:t>Subcommittee: Kaufmann, Bloomingdale, McBurney, Wilson and Wulf. (4/9/25)</w:t>
            </w:r>
          </w:p>
        </w:tc>
        <w:tc>
          <w:tcPr>
            <w:tcW w:w="4320" w:type="dxa"/>
            <w:noWrap w:val="false"/>
          </w:tcPr>
          <w:p>
            <w:pPr>
              <w:spacing w:before="0" w:after="0"/>
            </w:pPr>
            <w:r>
              <w:t/>
            </w:r>
          </w:p>
        </w:tc>
      </w:tr>
      <w:tr>
        <w:trPr>
          <w:cantSplit w:val="true"/>
        </w:trPr>
        <w:tc>
          <w:tcPr>
            <w:tcW w:w="2160" w:type="dxa"/>
            <w:noWrap w:val="false"/>
          </w:tcPr>
          <w:p>
            <w:hyperlink r:id="rId41">
              <w:r>
                <w:rPr>
                  <w:rStyle w:val="Hyperlink"/>
                  <w:color w:val="0000FF"/>
                </w:rPr>
                <w:t xml:space="preserve">SF 651</w:t>
              </w:r>
            </w:hyperlink>
          </w:p>
          <w:p>
            <w:hyperlink r:id="rId42">
              <w:r>
                <w:rPr>
                  <w:rStyle w:val="Hyperlink"/>
                  <w:color w:val="0000FF"/>
                </w:rPr>
                <w:t xml:space="preserve">CO:HSB 328</w:t>
              </w:r>
            </w:hyperlink>
          </w:p>
        </w:tc>
        <w:tc>
          <w:tcPr>
            <w:tcW w:w="3600" w:type="dxa"/>
            <w:noWrap w:val="false"/>
          </w:tcPr>
          <w:p>
            <w:r>
              <w:rPr>
                <w:sz w:val="20"/>
              </w:rPr>
              <w:t>A bill for an act relating to local government property taxes, financial authority, and budgets, modifying appropriations, and including effective date, applicability, and retroactive applicability provisions.(Formerly SSB 1227.)</w:t>
            </w:r>
          </w:p>
        </w:tc>
        <w:tc>
          <w:tcPr>
            <w:tcW w:w="4320" w:type="dxa"/>
            <w:noWrap w:val="false"/>
          </w:tcPr>
          <w:p>
            <w:r>
              <w:rPr>
                <w:sz w:val="20"/>
              </w:rPr>
              <w:t>Committee report, approving bill. (5/8/25)</w:t>
            </w:r>
          </w:p>
        </w:tc>
        <w:tc>
          <w:tcPr>
            <w:tcW w:w="4320" w:type="dxa"/>
            <w:noWrap w:val="false"/>
          </w:tcPr>
          <w:p>
            <w:pPr>
              <w:spacing w:before="0" w:after="0"/>
            </w:pPr>
            <w:r>
              <w:t/>
            </w:r>
          </w:p>
        </w:tc>
      </w:tr>
      <w:tr>
        <w:trPr>
          <w:cantSplit w:val="true"/>
        </w:trPr>
        <w:tc>
          <w:tcPr>
            <w:tcW w:w="2160" w:type="dxa"/>
            <w:noWrap w:val="false"/>
          </w:tcPr>
          <w:p>
            <w:hyperlink r:id="rId43">
              <w:r>
                <w:rPr>
                  <w:rStyle w:val="Hyperlink"/>
                  <w:color w:val="0000FF"/>
                </w:rPr>
                <w:t xml:space="preserve">SF 379</w:t>
              </w:r>
            </w:hyperlink>
          </w:p>
        </w:tc>
        <w:tc>
          <w:tcPr>
            <w:tcW w:w="3600" w:type="dxa"/>
            <w:noWrap w:val="false"/>
          </w:tcPr>
          <w:p>
            <w:r>
              <w:rPr>
                <w:sz w:val="20"/>
              </w:rPr>
              <w:t>A bill for an act creating a deduction available against the individual income tax for educational expenses at institutions of higher education for career-related programs and apprenticeship programs, and including retroactive applicability provisions.(Formerly SSB 1119.)</w:t>
            </w:r>
          </w:p>
        </w:tc>
        <w:tc>
          <w:tcPr>
            <w:tcW w:w="4320" w:type="dxa"/>
            <w:noWrap w:val="false"/>
          </w:tcPr>
          <w:p>
            <w:r>
              <w:rPr>
                <w:sz w:val="20"/>
              </w:rPr>
              <w:t>Subcommittee recommends passage. (3/12/25)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4">
              <w:r>
                <w:rPr>
                  <w:rStyle w:val="Hyperlink"/>
                  <w:color w:val="0000FF"/>
                </w:rPr>
                <w:t xml:space="preserve">HF 821</w:t>
              </w:r>
            </w:hyperlink>
          </w:p>
        </w:tc>
        <w:tc>
          <w:tcPr>
            <w:tcW w:w="3600" w:type="dxa"/>
            <w:noWrap w:val="false"/>
          </w:tcPr>
          <w:p>
            <w:r>
              <w:rPr>
                <w:sz w:val="20"/>
              </w:rPr>
              <w:t>A bill for an act creating a contractor performance assessment system.</w:t>
            </w:r>
          </w:p>
        </w:tc>
        <w:tc>
          <w:tcPr>
            <w:tcW w:w="4320" w:type="dxa"/>
            <w:shd w:val="clear" w:color="auto" w:fill="FF8080" w:themeFillTint="30"/>
            <w:noWrap w:val="false"/>
          </w:tcPr>
          <w:p>
            <w:r>
              <w:rPr>
                <w:sz w:val="20"/>
              </w:rPr>
              <w:t>Introduced, referred to State Government. (3/6/25)</w:t>
            </w:r>
          </w:p>
        </w:tc>
        <w:tc>
          <w:tcPr>
            <w:tcW w:w="4320" w:type="dxa"/>
            <w:noWrap w:val="false"/>
          </w:tcPr>
          <w:p>
            <w:pPr>
              <w:spacing w:before="0" w:after="0"/>
            </w:pPr>
            <w:r>
              <w:t/>
            </w:r>
          </w:p>
        </w:tc>
      </w:tr>
      <w:tr>
        <w:trPr>
          <w:cantSplit w:val="true"/>
        </w:trPr>
        <w:tc>
          <w:tcPr>
            <w:tcW w:w="2160" w:type="dxa"/>
            <w:noWrap w:val="false"/>
          </w:tcPr>
          <w:p>
            <w:hyperlink r:id="rId45">
              <w:r>
                <w:rPr>
                  <w:rStyle w:val="Hyperlink"/>
                  <w:color w:val="0000FF"/>
                </w:rPr>
                <w:t xml:space="preserve">HSB 114</w:t>
              </w:r>
            </w:hyperlink>
          </w:p>
          <w:p>
            <w:hyperlink r:id="rId46">
              <w:r>
                <w:rPr>
                  <w:rStyle w:val="Hyperlink"/>
                  <w:color w:val="0000FF"/>
                </w:rPr>
                <w:t xml:space="preserve">CO:SF 607</w:t>
              </w:r>
            </w:hyperlink>
          </w:p>
        </w:tc>
        <w:tc>
          <w:tcPr>
            <w:tcW w:w="3600" w:type="dxa"/>
            <w:noWrap w:val="false"/>
          </w:tcPr>
          <w:p>
            <w:r>
              <w:rPr>
                <w:sz w:val="20"/>
              </w:rPr>
              <w:t>A bill for an act relating to unemployment insurance taxes on employers.</w:t>
            </w:r>
          </w:p>
        </w:tc>
        <w:tc>
          <w:tcPr>
            <w:tcW w:w="4320" w:type="dxa"/>
            <w:shd w:val="clear" w:color="auto" w:fill="FF8080" w:themeFillTint="30"/>
            <w:noWrap w:val="false"/>
          </w:tcPr>
          <w:p>
            <w:r>
              <w:rPr>
                <w:sz w:val="20"/>
              </w:rPr>
              <w:t>Subcommittee: Kniff McCulla, Cooling and Meggers. (1/30/25)</w:t>
            </w:r>
          </w:p>
        </w:tc>
        <w:tc>
          <w:tcPr>
            <w:tcW w:w="4320" w:type="dxa"/>
            <w:noWrap w:val="false"/>
          </w:tcPr>
          <w:p>
            <w:pPr>
              <w:spacing w:before="0" w:after="0"/>
            </w:pPr>
            <w:r>
              <w:t/>
            </w:r>
          </w:p>
        </w:tc>
      </w:tr>
      <w:tr>
        <w:trPr>
          <w:cantSplit w:val="true"/>
        </w:trPr>
        <w:tc>
          <w:tcPr>
            <w:tcW w:w="2160" w:type="dxa"/>
            <w:noWrap w:val="false"/>
          </w:tcPr>
          <w:p>
            <w:hyperlink r:id="rId47">
              <w:r>
                <w:rPr>
                  <w:rStyle w:val="Hyperlink"/>
                  <w:color w:val="0000FF"/>
                </w:rPr>
                <w:t xml:space="preserve">HSB 129</w:t>
              </w:r>
            </w:hyperlink>
          </w:p>
        </w:tc>
        <w:tc>
          <w:tcPr>
            <w:tcW w:w="3600" w:type="dxa"/>
            <w:noWrap w:val="false"/>
          </w:tcPr>
          <w:p>
            <w:r>
              <w:rPr>
                <w:sz w:val="20"/>
              </w:rPr>
              <w:t>A bill for an act relating to the maximum amount of workforce housing tax incentives available against the individual and corporate income taxes, the franchise tax, the insurance premiums tax, and the moneys and credits tax.</w:t>
            </w:r>
          </w:p>
        </w:tc>
        <w:tc>
          <w:tcPr>
            <w:tcW w:w="4320" w:type="dxa"/>
            <w:shd w:val="clear" w:color="auto" w:fill="FF8080" w:themeFillTint="30"/>
            <w:noWrap w:val="false"/>
          </w:tcPr>
          <w:p>
            <w:r>
              <w:rPr>
                <w:sz w:val="20"/>
              </w:rPr>
              <w:t>Subcommittee recommends passage. (2/12/25)</w:t>
            </w:r>
          </w:p>
        </w:tc>
        <w:tc>
          <w:tcPr>
            <w:tcW w:w="4320" w:type="dxa"/>
            <w:noWrap w:val="false"/>
          </w:tcPr>
          <w:p>
            <w:pPr>
              <w:spacing w:before="0" w:after="0"/>
            </w:pPr>
            <w:r>
              <w:t>Support/For</w:t>
            </w:r>
          </w:p>
        </w:tc>
      </w:tr>
      <w:tr>
        <w:trPr>
          <w:cantSplit w:val="true"/>
        </w:trPr>
        <w:tc>
          <w:tcPr>
            <w:tcW w:w="2160" w:type="dxa"/>
            <w:noWrap w:val="false"/>
          </w:tcPr>
          <w:p>
            <w:hyperlink r:id="rId48">
              <w:r>
                <w:rPr>
                  <w:rStyle w:val="Hyperlink"/>
                  <w:color w:val="0000FF"/>
                </w:rPr>
                <w:t xml:space="preserve">SF 498</w:t>
              </w:r>
            </w:hyperlink>
          </w:p>
        </w:tc>
        <w:tc>
          <w:tcPr>
            <w:tcW w:w="3600" w:type="dxa"/>
            <w:noWrap w:val="false"/>
          </w:tcPr>
          <w:p>
            <w:r>
              <w:rPr>
                <w:sz w:val="20"/>
              </w:rPr>
              <w:t>A bill for an act relating to county and city landscaping regulation in commercial and multifamily residential zones.(Formerly SSB 1108.)</w:t>
            </w:r>
          </w:p>
        </w:tc>
        <w:tc>
          <w:tcPr>
            <w:tcW w:w="4320" w:type="dxa"/>
            <w:shd w:val="clear" w:color="auto" w:fill="FF8080" w:themeFillTint="30"/>
            <w:noWrap w:val="false"/>
          </w:tcPr>
          <w:p>
            <w:r>
              <w:rPr>
                <w:sz w:val="20"/>
              </w:rPr>
              <w:t>Committee report, approving bill. (3/4/25)</w:t>
            </w:r>
          </w:p>
        </w:tc>
        <w:tc>
          <w:tcPr>
            <w:tcW w:w="4320" w:type="dxa"/>
            <w:noWrap w:val="false"/>
          </w:tcPr>
          <w:p>
            <w:pPr>
              <w:spacing w:before="0" w:after="0"/>
            </w:pPr>
            <w:r>
              <w:t/>
            </w:r>
          </w:p>
        </w:tc>
      </w:tr>
      <w:tr>
        <w:trPr>
          <w:cantSplit w:val="true"/>
        </w:trPr>
        <w:tc>
          <w:tcPr>
            <w:tcW w:w="2160" w:type="dxa"/>
            <w:noWrap w:val="false"/>
          </w:tcPr>
          <w:p>
            <w:hyperlink r:id="rId49">
              <w:r>
                <w:rPr>
                  <w:rStyle w:val="Hyperlink"/>
                  <w:color w:val="0000FF"/>
                </w:rPr>
                <w:t xml:space="preserve">SF 576</w:t>
              </w:r>
            </w:hyperlink>
          </w:p>
        </w:tc>
        <w:tc>
          <w:tcPr>
            <w:tcW w:w="3600" w:type="dxa"/>
            <w:noWrap w:val="false"/>
          </w:tcPr>
          <w:p>
            <w:r>
              <w:rPr>
                <w:sz w:val="20"/>
              </w:rPr>
              <w:t>A bill for an act relating to bonds for general contractors.(Formerly SSB 1151.)</w:t>
            </w:r>
          </w:p>
        </w:tc>
        <w:tc>
          <w:tcPr>
            <w:tcW w:w="4320" w:type="dxa"/>
            <w:shd w:val="clear" w:color="auto" w:fill="FF8080" w:themeFillTint="30"/>
            <w:noWrap w:val="false"/>
          </w:tcPr>
          <w:p>
            <w:r>
              <w:rPr>
                <w:sz w:val="20"/>
              </w:rPr>
              <w:t>Committee report, approving bill. (3/10/25)</w:t>
            </w:r>
          </w:p>
        </w:tc>
        <w:tc>
          <w:tcPr>
            <w:tcW w:w="4320" w:type="dxa"/>
            <w:noWrap w:val="false"/>
          </w:tcPr>
          <w:p>
            <w:pPr>
              <w:spacing w:before="0" w:after="0"/>
            </w:pPr>
            <w:r>
              <w:t/>
            </w:r>
          </w:p>
        </w:tc>
      </w:tr>
      <w:tr>
        <w:trPr>
          <w:cantSplit w:val="true"/>
        </w:trPr>
        <w:tc>
          <w:tcPr>
            <w:tcW w:w="2160" w:type="dxa"/>
            <w:noWrap w:val="false"/>
          </w:tcPr>
          <w:p>
            <w:hyperlink r:id="rId50">
              <w:r>
                <w:rPr>
                  <w:rStyle w:val="Hyperlink"/>
                  <w:color w:val="0000FF"/>
                </w:rPr>
                <w:t xml:space="preserve">SSB 1168</w:t>
              </w:r>
            </w:hyperlink>
          </w:p>
        </w:tc>
        <w:tc>
          <w:tcPr>
            <w:tcW w:w="3600" w:type="dxa"/>
            <w:noWrap w:val="false"/>
          </w:tcPr>
          <w:p>
            <w:r>
              <w:rPr>
                <w:sz w:val="20"/>
              </w:rPr>
              <w:t>A bill for an act related to guaranteed maximum price contracts for the construction of public improvements.</w:t>
            </w:r>
          </w:p>
        </w:tc>
        <w:tc>
          <w:tcPr>
            <w:tcW w:w="4320" w:type="dxa"/>
            <w:shd w:val="clear" w:color="auto" w:fill="FF8080" w:themeFillTint="30"/>
            <w:noWrap w:val="false"/>
          </w:tcPr>
          <w:p>
            <w:r>
              <w:rPr>
                <w:sz w:val="20"/>
              </w:rPr>
              <w:t>Subcommittee: Bousselot, Bisignano, and Webster. (2/20/25)</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BLD Connection Iowa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767" Type="http://schemas.openxmlformats.org/officeDocument/2006/relationships/hyperlink" Id="rId7"/><Relationship TargetMode="External" Target="https://www.legis.iowa.gov/legislation/BillBook?ga=91&amp;ba=SF110" Type="http://schemas.openxmlformats.org/officeDocument/2006/relationships/hyperlink" Id="rId8"/><Relationship TargetMode="External" Target="https://www.legis.iowa.gov/legislation/BillBook?ga=91&amp;ba=HF975" Type="http://schemas.openxmlformats.org/officeDocument/2006/relationships/hyperlink" Id="rId9"/><Relationship TargetMode="External" Target="https://www.legis.iowa.gov/legislation/BillBook?ga=91&amp;ba=SF642" Type="http://schemas.openxmlformats.org/officeDocument/2006/relationships/hyperlink" Id="rId10"/><Relationship TargetMode="External" Target="https://www.legis.iowa.gov/legislation/BillBook?ga=91&amp;ba=SF603" Type="http://schemas.openxmlformats.org/officeDocument/2006/relationships/hyperlink" Id="rId11"/><Relationship TargetMode="External" Target="https://www.legis.iowa.gov/legislation/BillBook?ga=91&amp;ba=HF722" Type="http://schemas.openxmlformats.org/officeDocument/2006/relationships/hyperlink" Id="rId12"/><Relationship TargetMode="External" Target="https://www.legis.iowa.gov/legislation/BillBook?ga=91&amp;ba=SF607" Type="http://schemas.openxmlformats.org/officeDocument/2006/relationships/hyperlink" Id="rId13"/><Relationship TargetMode="External" Target="https://www.legis.iowa.gov/legislation/BillBook?ga=91&amp;ba=HSB114" Type="http://schemas.openxmlformats.org/officeDocument/2006/relationships/hyperlink" Id="rId14"/><Relationship TargetMode="External" Target="https://www.legis.iowa.gov/legislation/BillBook?ga=91&amp;ba=SF645" Type="http://schemas.openxmlformats.org/officeDocument/2006/relationships/hyperlink" Id="rId15"/><Relationship TargetMode="External" Target="https://www.legis.iowa.gov/legislation/BillBook?ga=91&amp;ba=HF1040" Type="http://schemas.openxmlformats.org/officeDocument/2006/relationships/hyperlink" Id="rId16"/><Relationship TargetMode="External" Target="https://www.legis.iowa.gov/legislation/BillBook?ga=91&amp;ba=SF657" Type="http://schemas.openxmlformats.org/officeDocument/2006/relationships/hyperlink" Id="rId17"/><Relationship TargetMode="External" Target="https://www.legis.iowa.gov/legislation/BillBook?ga=91&amp;ba=HF1054" Type="http://schemas.openxmlformats.org/officeDocument/2006/relationships/hyperlink" Id="rId18"/><Relationship TargetMode="External" Target="https://www.legis.iowa.gov/legislation/BillBook?ga=91&amp;ba=HF109" Type="http://schemas.openxmlformats.org/officeDocument/2006/relationships/hyperlink" Id="rId19"/><Relationship TargetMode="External" Target="https://www.legis.iowa.gov/legislation/BillBook?ga=91&amp;ba=HF171" Type="http://schemas.openxmlformats.org/officeDocument/2006/relationships/hyperlink" Id="rId20"/><Relationship TargetMode="External" Target="https://www.legis.iowa.gov/legislation/BillBook?ga=91&amp;ba=SF436" Type="http://schemas.openxmlformats.org/officeDocument/2006/relationships/hyperlink" Id="rId21"/><Relationship TargetMode="External" Target="https://www.legis.iowa.gov/legislation/BillBook?ga=91&amp;ba=HF208" Type="http://schemas.openxmlformats.org/officeDocument/2006/relationships/hyperlink" Id="rId22"/><Relationship TargetMode="External" Target="https://www.legis.iowa.gov/legislation/BillBook?ga=91&amp;ba=HF1008" Type="http://schemas.openxmlformats.org/officeDocument/2006/relationships/hyperlink" Id="rId23"/><Relationship TargetMode="External" Target="https://www.legis.iowa.gov/legislation/BillBook?ga=91&amp;ba=SF655" Type="http://schemas.openxmlformats.org/officeDocument/2006/relationships/hyperlink" Id="rId24"/><Relationship TargetMode="External" Target="https://www.legis.iowa.gov/legislation/BillBook?ga=91&amp;ba=SF655" Type="http://schemas.openxmlformats.org/officeDocument/2006/relationships/hyperlink" Id="rId25"/><Relationship TargetMode="External" Target="https://www.legis.iowa.gov/legislation/BillBook?ga=91&amp;ba=HF1008" Type="http://schemas.openxmlformats.org/officeDocument/2006/relationships/hyperlink" Id="rId26"/><Relationship TargetMode="External" Target="https://www.legis.iowa.gov/legislation/BillBook?ga=91&amp;ba=HF1024" Type="http://schemas.openxmlformats.org/officeDocument/2006/relationships/hyperlink" Id="rId27"/><Relationship TargetMode="External" Target="https://www.legis.iowa.gov/legislation/BillBook?ga=91&amp;ba=HF110" Type="http://schemas.openxmlformats.org/officeDocument/2006/relationships/hyperlink" Id="rId28"/><Relationship TargetMode="External" Target="https://www.legis.iowa.gov/legislation/BillBook?ga=91&amp;ba=HSB269" Type="http://schemas.openxmlformats.org/officeDocument/2006/relationships/hyperlink" Id="rId29"/><Relationship TargetMode="External" Target="https://www.legis.iowa.gov/legislation/BillBook?ga=91&amp;ba=HSB304" Type="http://schemas.openxmlformats.org/officeDocument/2006/relationships/hyperlink" Id="rId30"/><Relationship TargetMode="External" Target="https://www.legis.iowa.gov/legislation/BillBook?ga=91&amp;ba=HSB313" Type="http://schemas.openxmlformats.org/officeDocument/2006/relationships/hyperlink" Id="rId31"/><Relationship TargetMode="External" Target="https://www.legis.iowa.gov/legislation/BillBook?ga=91&amp;ba=SSB1208" Type="http://schemas.openxmlformats.org/officeDocument/2006/relationships/hyperlink" Id="rId32"/><Relationship TargetMode="External" Target="https://www.legis.iowa.gov/legislation/BillBook?ga=91&amp;ba=SSB1208" Type="http://schemas.openxmlformats.org/officeDocument/2006/relationships/hyperlink" Id="rId33"/><Relationship TargetMode="External" Target="https://www.legis.iowa.gov/legislation/BillBook?ga=91&amp;ba=HSB313" Type="http://schemas.openxmlformats.org/officeDocument/2006/relationships/hyperlink" Id="rId34"/><Relationship TargetMode="External" Target="https://www.legis.iowa.gov/legislation/BillBook?ga=91&amp;ba=HSB324" Type="http://schemas.openxmlformats.org/officeDocument/2006/relationships/hyperlink" Id="rId35"/><Relationship TargetMode="External" Target="https://www.legis.iowa.gov/legislation/BillBook?ga=91&amp;ba=SSB1229" Type="http://schemas.openxmlformats.org/officeDocument/2006/relationships/hyperlink" Id="rId36"/><Relationship TargetMode="External" Target="https://www.legis.iowa.gov/legislation/BillBook?ga=91&amp;ba=SSB1229" Type="http://schemas.openxmlformats.org/officeDocument/2006/relationships/hyperlink" Id="rId37"/><Relationship TargetMode="External" Target="https://www.legis.iowa.gov/legislation/BillBook?ga=91&amp;ba=HSB324" Type="http://schemas.openxmlformats.org/officeDocument/2006/relationships/hyperlink" Id="rId38"/><Relationship TargetMode="External" Target="https://www.legis.iowa.gov/legislation/BillBook?ga=91&amp;ba=HSB328" Type="http://schemas.openxmlformats.org/officeDocument/2006/relationships/hyperlink" Id="rId39"/><Relationship TargetMode="External" Target="https://www.legis.iowa.gov/legislation/BillBook?ga=91&amp;ba=SF651" Type="http://schemas.openxmlformats.org/officeDocument/2006/relationships/hyperlink" Id="rId40"/><Relationship TargetMode="External" Target="https://www.legis.iowa.gov/legislation/BillBook?ga=91&amp;ba=SF651" Type="http://schemas.openxmlformats.org/officeDocument/2006/relationships/hyperlink" Id="rId41"/><Relationship TargetMode="External" Target="https://www.legis.iowa.gov/legislation/BillBook?ga=91&amp;ba=HSB328" Type="http://schemas.openxmlformats.org/officeDocument/2006/relationships/hyperlink" Id="rId42"/><Relationship TargetMode="External" Target="https://www.legis.iowa.gov/legislation/BillBook?ga=91&amp;ba=SF379" Type="http://schemas.openxmlformats.org/officeDocument/2006/relationships/hyperlink" Id="rId43"/><Relationship TargetMode="External" Target="https://www.legis.iowa.gov/legislation/BillBook?ga=91&amp;ba=HF821" Type="http://schemas.openxmlformats.org/officeDocument/2006/relationships/hyperlink" Id="rId44"/><Relationship TargetMode="External" Target="https://www.legis.iowa.gov/legislation/BillBook?ga=91&amp;ba=HSB114" Type="http://schemas.openxmlformats.org/officeDocument/2006/relationships/hyperlink" Id="rId45"/><Relationship TargetMode="External" Target="https://www.legis.iowa.gov/legislation/BillBook?ga=91&amp;ba=SF607" Type="http://schemas.openxmlformats.org/officeDocument/2006/relationships/hyperlink" Id="rId46"/><Relationship TargetMode="External" Target="https://www.legis.iowa.gov/legislation/BillBook?ga=91&amp;ba=HSB129" Type="http://schemas.openxmlformats.org/officeDocument/2006/relationships/hyperlink" Id="rId47"/><Relationship TargetMode="External" Target="https://www.legis.iowa.gov/legislation/BillBook?ga=91&amp;ba=SF498" Type="http://schemas.openxmlformats.org/officeDocument/2006/relationships/hyperlink" Id="rId48"/><Relationship TargetMode="External" Target="https://www.legis.iowa.gov/legislation/BillBook?ga=91&amp;ba=SF576" Type="http://schemas.openxmlformats.org/officeDocument/2006/relationships/hyperlink" Id="rId49"/><Relationship TargetMode="External" Target="https://www.legis.iowa.gov/legislation/BillBook?ga=91&amp;ba=SSB1168" Type="http://schemas.openxmlformats.org/officeDocument/2006/relationships/hyperlink" Id="rId50"/></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