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ContentType="application/vnd.openxmlformats-package.relationships+xml" PartName="/_rels/.rels"/>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package.relationships+xml" PartName="/word/_rels/document.xml.rels"/>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image/jpeg" PartName="/word/media/image1.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Target="docProps/core.xml" Type="http://schemas.openxmlformats.org/package/2006/relationships/metadata/core-properties" Id="rId1"></Relationship><Relationship Target="docProps/app.xml" Type="http://schemas.openxmlformats.org/officeDocument/2006/relationships/extended-properties" Id="rId2"></Relationship><Relationship Target="docProps/custom.xml" Type="http://schemas.openxmlformats.org/officeDocument/2006/relationships/custom-properties" Id="rId3"></Relationship><Relationship Target="word/document.xml" Type="http://schemas.openxmlformats.org/officeDocument/2006/relationships/officeDocument" Id="rId4"></Relationship></Relationships>
</file>

<file path=word/document.xml><?xml version="1.0" encoding="utf-8"?>
<w:document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Body"/>
        <w:spacing w:before="0" w:after="0" w:line="240" w:lineRule="auto"/>
        <w:jc w:val="left"/>
        <w:rPr/>
      </w:pPr>
      <w:r>
        <w:rPr/>
        <w:drawing>
          <wp:anchor distT="152400" distB="152400" distL="152400" distR="152400" simplePos="false" relativeHeight="2" behindDoc="true" locked="false" layoutInCell="false" allowOverlap="true">
            <wp:simplePos x="0" y="0"/>
            <wp:positionH relativeFrom="page">
              <wp:posOffset>511810</wp:posOffset>
            </wp:positionH>
            <wp:positionV relativeFrom="page">
              <wp:posOffset>0</wp:posOffset>
            </wp:positionV>
            <wp:extent cx="1634490" cy="727710"/>
            <wp:effectExtent l="0" t="0" r="0" b="0"/>
            <wp:wrapTopAndBottom/>
            <wp:docPr id="1" name="officeArt object" descr="Image"/>
            <wp:cNvGraphicFramePr>
              <a:graphicFrameLocks noChangeAspect="true"/>
            </wp:cNvGraphicFramePr>
            <a:graphic>
              <a:graphicData uri="http://schemas.openxmlformats.org/drawingml/2006/picture">
                <pic:pic>
                  <pic:nvPicPr>
                    <pic:cNvPr id="1" name="officeArt object" descr="Image"/>
                    <pic:cNvPicPr>
                      <a:picLocks noChangeAspect="true" noChangeArrowheads="true"/>
                    </pic:cNvPicPr>
                  </pic:nvPicPr>
                  <pic:blipFill>
                    <a:blip r:embed="rId2"/>
                    <a:stretch>
                      <a:fillRect/>
                    </a:stretch>
                  </pic:blipFill>
                  <pic:spPr bwMode="auto">
                    <a:xfrm>
                      <a:off x="0" y="0"/>
                      <a:ext cx="1634490" cy="727710"/>
                    </a:xfrm>
                    <a:prstGeom prst="rect">
                      <a:avLst/>
                    </a:prstGeom>
                  </pic:spPr>
                </pic:pic>
              </a:graphicData>
            </a:graphic>
          </wp:anchor>
        </w:drawing>
      </w:r>
    </w:p>
    <w:p>
      <w:r>
        <w:rPr>
          <w:sz w:val="24"/>
        </w:rPr>
        <w:t/>
      </w:r>
    </w:p>
    <w:p>
      <w:pPr>
        <w:spacing w:before="0" w:after="0"/>
      </w:pPr>
      <w:r>
        <w:rPr>
          <w:b w:val="true"/>
          <w:sz w:val="48"/>
          <w:u w:val="single"/>
        </w:rPr>
        <w:t>Priority Legislation</w:t>
      </w:r>
    </w:p>
    <w:p>
      <w:r>
        <w:rPr>
          <w:sz w:val="48"/>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8">
              <w:r>
                <w:rPr>
                  <w:rStyle w:val="Hyperlink"/>
                </w:rPr>
                <w:t xml:space="preserve">HF 68</w:t>
              </w:r>
            </w:hyperlink>
          </w:p>
          <w:p>
            <w:hyperlink r:id="rId9">
              <w:r>
                <w:rPr>
                  <w:rStyle w:val="Hyperlink"/>
                </w:rPr>
                <w:t xml:space="preserve">CO:SF 94</w:t>
              </w:r>
            </w:hyperlink>
          </w:p>
        </w:tc>
        <w:tc>
          <w:tcPr>
            <w:tcW w:w="3600" w:type="dxa"/>
            <w:noWrap w:val="false"/>
          </w:tcPr>
          <w:p>
            <w:r>
              <w:rPr>
                <w:sz w:val="20"/>
              </w:rPr>
              <w:t>A bill for an act relating to education programs and funding by establishing an education savings account program, modifying certain school district categorical funding supplements and supplementary weighting, making appropriations, providing penalties, and including effective date and retroactive applicability provisions. (Formerly HSB 1.) Effective date: 01/24/2023, 07/01/2023. Applicability date: 01/01/2023.</w:t>
            </w:r>
          </w:p>
        </w:tc>
        <w:tc>
          <w:tcPr>
            <w:tcW w:w="4320" w:type="dxa"/>
            <w:noWrap w:val="false"/>
          </w:tcPr>
          <w:p>
            <w:r>
              <w:rPr>
                <w:sz w:val="20"/>
              </w:rPr>
              <w:t>Signed by Governor. (1/24/23)</w:t>
            </w:r>
            <w:br/>
            <w:r>
              <w:rPr>
                <w:sz w:val="20"/>
              </w:rPr>
              <w:t>Passed House, yeas 55, nays 45. (1/23/23)</w:t>
            </w:r>
            <w:br/>
            <w:r>
              <w:rPr>
                <w:sz w:val="20"/>
              </w:rPr>
              <w:t>Passed Senate, yeas 31, nays 18. (1/23/23)</w:t>
            </w:r>
          </w:p>
        </w:tc>
        <w:tc>
          <w:tcPr>
            <w:tcW w:w="4320" w:type="dxa"/>
            <w:noWrap w:val="false"/>
          </w:tcPr>
          <w:p>
            <w:pPr>
              <w:spacing w:before="0" w:after="0"/>
            </w:pPr>
            <w:r>
              <w:t/>
            </w:r>
          </w:p>
        </w:tc>
      </w:tr>
      <w:tr>
        <w:trPr>
          <w:cantSplit w:val="true"/>
        </w:trPr>
        <w:tc>
          <w:tcPr>
            <w:tcW w:w="2160" w:type="dxa"/>
            <w:noWrap w:val="false"/>
          </w:tcPr>
          <w:p>
            <w:hyperlink r:id="rId10">
              <w:r>
                <w:rPr>
                  <w:rStyle w:val="Hyperlink"/>
                </w:rPr>
                <w:t xml:space="preserve">SF 391</w:t>
              </w:r>
            </w:hyperlink>
          </w:p>
        </w:tc>
        <w:tc>
          <w:tcPr>
            <w:tcW w:w="3600" w:type="dxa"/>
            <w:noWrap w:val="false"/>
          </w:tcPr>
          <w:p>
            <w:r>
              <w:rPr>
                <w:sz w:val="20"/>
              </w:rPr>
              <w:t>A bill for an act relating to education, including modifying provisions related to comprehensive school improvement plans, teacher librarians and guidance counselors, required days or hours of instruction in elementary and secondary schools, agreements between school districts and community colleges to teach certain courses, and required courses in school districts and accredited nonpublic schools, and authorizing school districts to offer sequential units in one classroom. (Formerly SSB 1076.) Effective date: 07/01/2023</w:t>
            </w:r>
          </w:p>
        </w:tc>
        <w:tc>
          <w:tcPr>
            <w:tcW w:w="4320" w:type="dxa"/>
            <w:noWrap w:val="false"/>
          </w:tcPr>
          <w:p>
            <w:r>
              <w:rPr>
                <w:sz w:val="20"/>
              </w:rPr>
              <w:t>Message from House. (4/24/23)</w:t>
            </w:r>
            <w:br/>
            <w:r>
              <w:rPr>
                <w:sz w:val="20"/>
              </w:rPr>
              <w:t>Passed Senate, yeas 33, nays 16. (3/7/23)</w:t>
            </w:r>
            <w:br/>
            <w:r>
              <w:rPr>
                <w:sz w:val="20"/>
              </w:rPr>
              <w:t>Passed House, yeas 62, nays 34. (3/9/23)</w:t>
            </w:r>
            <w:br/>
            <w:r>
              <w:rPr>
                <w:sz w:val="20"/>
              </w:rPr>
              <w:t>Passed Senate, yeas 34, nays 16. (4/17/23)</w:t>
            </w:r>
            <w:br/>
            <w:r>
              <w:rPr>
                <w:sz w:val="20"/>
              </w:rPr>
              <w:t>Passed House, yeas 60, nays 36. (4/20/23)</w:t>
            </w:r>
          </w:p>
        </w:tc>
        <w:tc>
          <w:tcPr>
            <w:tcW w:w="4320" w:type="dxa"/>
            <w:noWrap w:val="false"/>
          </w:tcPr>
          <w:p>
            <w:pPr>
              <w:spacing w:before="0" w:after="0"/>
            </w:pPr>
            <w:r>
              <w:t/>
            </w:r>
          </w:p>
        </w:tc>
      </w:tr>
    </w:tbl>
    <w:p>
      <w:r>
        <w:rPr>
          <w:sz w:val="24"/>
        </w:rPr>
        <w:t/>
      </w:r>
    </w:p>
    <w:p>
      <w:pPr>
        <w:spacing w:before="0" w:after="0"/>
      </w:pPr>
      <w:r>
        <w:rPr>
          <w:b w:val="true"/>
          <w:sz w:val="48"/>
          <w:u w:val="single"/>
        </w:rPr>
        <w:t>Signed by the Governor</w:t>
      </w:r>
    </w:p>
    <w:p>
      <w:r>
        <w:rPr>
          <w:sz w:val="48"/>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11">
              <w:r>
                <w:rPr>
                  <w:rStyle w:val="Hyperlink"/>
                </w:rPr>
                <w:t xml:space="preserve">HF 68</w:t>
              </w:r>
            </w:hyperlink>
          </w:p>
          <w:p>
            <w:hyperlink r:id="rId12">
              <w:r>
                <w:rPr>
                  <w:rStyle w:val="Hyperlink"/>
                </w:rPr>
                <w:t xml:space="preserve">CO:SF 94</w:t>
              </w:r>
            </w:hyperlink>
          </w:p>
        </w:tc>
        <w:tc>
          <w:tcPr>
            <w:tcW w:w="3600" w:type="dxa"/>
            <w:noWrap w:val="false"/>
          </w:tcPr>
          <w:p>
            <w:r>
              <w:rPr>
                <w:sz w:val="20"/>
              </w:rPr>
              <w:t>A bill for an act relating to education programs and funding by establishing an education savings account program, modifying certain school district categorical funding supplements and supplementary weighting, making appropriations, providing penalties, and including effective date and retroactive applicability provisions. (Formerly HSB 1.) Effective date: 01/24/2023, 07/01/2023. Applicability date: 01/01/2023.</w:t>
            </w:r>
          </w:p>
        </w:tc>
        <w:tc>
          <w:tcPr>
            <w:tcW w:w="4320" w:type="dxa"/>
            <w:noWrap w:val="false"/>
          </w:tcPr>
          <w:p>
            <w:r>
              <w:rPr>
                <w:sz w:val="20"/>
              </w:rPr>
              <w:t>Signed by Governor. (1/24/23)</w:t>
            </w:r>
            <w:br/>
            <w:r>
              <w:rPr>
                <w:sz w:val="20"/>
              </w:rPr>
              <w:t>Passed House, yeas 55, nays 45. (1/23/23)</w:t>
            </w:r>
            <w:br/>
            <w:r>
              <w:rPr>
                <w:sz w:val="20"/>
              </w:rPr>
              <w:t>Passed Senate, yeas 31, nays 18. (1/23/23)</w:t>
            </w:r>
          </w:p>
        </w:tc>
        <w:tc>
          <w:tcPr>
            <w:tcW w:w="4320" w:type="dxa"/>
            <w:noWrap w:val="false"/>
          </w:tcPr>
          <w:p>
            <w:pPr>
              <w:spacing w:before="0" w:after="0"/>
            </w:pPr>
            <w:r>
              <w:t/>
            </w:r>
          </w:p>
        </w:tc>
      </w:tr>
      <w:tr>
        <w:trPr>
          <w:cantSplit w:val="true"/>
        </w:trPr>
        <w:tc>
          <w:tcPr>
            <w:tcW w:w="2160" w:type="dxa"/>
            <w:noWrap w:val="false"/>
          </w:tcPr>
          <w:p>
            <w:hyperlink r:id="rId13">
              <w:r>
                <w:rPr>
                  <w:rStyle w:val="Hyperlink"/>
                </w:rPr>
                <w:t xml:space="preserve">SF 192</w:t>
              </w:r>
            </w:hyperlink>
          </w:p>
          <w:p>
            <w:hyperlink r:id="rId14">
              <w:r>
                <w:rPr>
                  <w:rStyle w:val="Hyperlink"/>
                </w:rPr>
                <w:t xml:space="preserve">CO:HF 171</w:t>
              </w:r>
            </w:hyperlink>
          </w:p>
        </w:tc>
        <w:tc>
          <w:tcPr>
            <w:tcW w:w="3600" w:type="dxa"/>
            <w:noWrap w:val="false"/>
          </w:tcPr>
          <w:p>
            <w:r>
              <w:rPr>
                <w:sz w:val="20"/>
              </w:rPr>
              <w:t>A bill for an act relating to school funding by establishing the state percent of growth and the categorical state percent of growth for the budget year beginning July 1, 2023, modifying provisions relating to the property tax replacement payments, making appropriations, and including effective date provisions. (Formerly SSB 1081.) Effective date: 02/07/2023.</w:t>
            </w:r>
          </w:p>
        </w:tc>
        <w:tc>
          <w:tcPr>
            <w:tcW w:w="4320" w:type="dxa"/>
            <w:noWrap w:val="false"/>
          </w:tcPr>
          <w:p>
            <w:r>
              <w:rPr>
                <w:sz w:val="20"/>
              </w:rPr>
              <w:t>Explanation of vote. (2/15/23)</w:t>
            </w:r>
            <w:br/>
            <w:r>
              <w:rPr>
                <w:sz w:val="20"/>
              </w:rPr>
              <w:t>Passed Senate, yeas 34, nays 15. (2/2/23)</w:t>
            </w:r>
            <w:br/>
            <w:r>
              <w:rPr>
                <w:sz w:val="20"/>
              </w:rPr>
              <w:t>Passed House, yeas 59, nays 40. (2/7/23)</w:t>
            </w:r>
          </w:p>
        </w:tc>
        <w:tc>
          <w:tcPr>
            <w:tcW w:w="4320" w:type="dxa"/>
            <w:noWrap w:val="false"/>
          </w:tcPr>
          <w:p>
            <w:pPr>
              <w:spacing w:before="0" w:after="0"/>
            </w:pPr>
            <w:r>
              <w:t/>
            </w:r>
          </w:p>
        </w:tc>
      </w:tr>
    </w:tbl>
    <w:p>
      <w:r>
        <w:rPr>
          <w:sz w:val="24"/>
        </w:rPr>
        <w:t/>
      </w:r>
    </w:p>
    <w:p>
      <w:pPr>
        <w:spacing w:before="0" w:after="0"/>
      </w:pPr>
      <w:r>
        <w:rPr>
          <w:b w:val="true"/>
          <w:sz w:val="48"/>
          <w:u w:val="single"/>
        </w:rPr>
        <w:t>Passed Both Chambers</w:t>
      </w:r>
    </w:p>
    <w:p>
      <w:r>
        <w:rPr>
          <w:sz w:val="48"/>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15">
              <w:r>
                <w:rPr>
                  <w:rStyle w:val="Hyperlink"/>
                </w:rPr>
                <w:t xml:space="preserve">HF 604</w:t>
              </w:r>
            </w:hyperlink>
          </w:p>
        </w:tc>
        <w:tc>
          <w:tcPr>
            <w:tcW w:w="3600" w:type="dxa"/>
            <w:noWrap w:val="false"/>
          </w:tcPr>
          <w:p>
            <w:r>
              <w:rPr>
                <w:sz w:val="20"/>
              </w:rPr>
              <w:t>A bill for an act relating to education, including authorizing the ombudsman to investigate complaints received by individuals who hold a license, certificate, authorization, or statement of recognition issued by the board of educational examiners, modifying the responsibilities of school districts and charter schools, and authorizing teachers employed by school districts or charter schools to remove disruptive students from the classroom. (Formerly HSB 206.)</w:t>
            </w:r>
          </w:p>
        </w:tc>
        <w:tc>
          <w:tcPr>
            <w:tcW w:w="4320" w:type="dxa"/>
            <w:noWrap w:val="false"/>
          </w:tcPr>
          <w:p>
            <w:r>
              <w:rPr>
                <w:sz w:val="20"/>
              </w:rPr>
              <w:t>Immediate message. (5/1/23)</w:t>
            </w:r>
            <w:br/>
            <w:r>
              <w:rPr>
                <w:sz w:val="20"/>
              </w:rPr>
              <w:t>Passed House, yeas 89, nays 6. (3/22/23)</w:t>
            </w:r>
            <w:br/>
            <w:r>
              <w:rPr>
                <w:sz w:val="20"/>
              </w:rPr>
              <w:t>Passed Senate, yeas 49, nays 0. (4/26/23)</w:t>
            </w:r>
            <w:br/>
            <w:r>
              <w:rPr>
                <w:sz w:val="20"/>
              </w:rPr>
              <w:t>Passed House, yeas 94, nays 0. (5/1/23)</w:t>
            </w:r>
          </w:p>
        </w:tc>
        <w:tc>
          <w:tcPr>
            <w:tcW w:w="4320" w:type="dxa"/>
            <w:noWrap w:val="false"/>
          </w:tcPr>
          <w:p>
            <w:pPr>
              <w:spacing w:before="0" w:after="0"/>
            </w:pPr>
            <w:r>
              <w:t/>
            </w:r>
          </w:p>
        </w:tc>
      </w:tr>
      <w:tr>
        <w:trPr>
          <w:cantSplit w:val="true"/>
        </w:trPr>
        <w:tc>
          <w:tcPr>
            <w:tcW w:w="2160" w:type="dxa"/>
            <w:noWrap w:val="false"/>
          </w:tcPr>
          <w:p>
            <w:hyperlink r:id="rId16">
              <w:r>
                <w:rPr>
                  <w:rStyle w:val="Hyperlink"/>
                </w:rPr>
                <w:t xml:space="preserve">SF 391</w:t>
              </w:r>
            </w:hyperlink>
          </w:p>
        </w:tc>
        <w:tc>
          <w:tcPr>
            <w:tcW w:w="3600" w:type="dxa"/>
            <w:noWrap w:val="false"/>
          </w:tcPr>
          <w:p>
            <w:r>
              <w:rPr>
                <w:sz w:val="20"/>
              </w:rPr>
              <w:t>A bill for an act relating to education, including modifying provisions related to comprehensive school improvement plans, teacher librarians and guidance counselors, required days or hours of instruction in elementary and secondary schools, agreements between school districts and community colleges to teach certain courses, and required courses in school districts and accredited nonpublic schools, and authorizing school districts to offer sequential units in one classroom. (Formerly SSB 1076.) Effective date: 07/01/2023</w:t>
            </w:r>
          </w:p>
        </w:tc>
        <w:tc>
          <w:tcPr>
            <w:tcW w:w="4320" w:type="dxa"/>
            <w:noWrap w:val="false"/>
          </w:tcPr>
          <w:p>
            <w:r>
              <w:rPr>
                <w:sz w:val="20"/>
              </w:rPr>
              <w:t>Message from House. (4/24/23)</w:t>
            </w:r>
            <w:br/>
            <w:r>
              <w:rPr>
                <w:sz w:val="20"/>
              </w:rPr>
              <w:t>Passed Senate, yeas 33, nays 16. (3/7/23)</w:t>
            </w:r>
            <w:br/>
            <w:r>
              <w:rPr>
                <w:sz w:val="20"/>
              </w:rPr>
              <w:t>Passed House, yeas 62, nays 34. (3/9/23)</w:t>
            </w:r>
            <w:br/>
            <w:r>
              <w:rPr>
                <w:sz w:val="20"/>
              </w:rPr>
              <w:t>Passed Senate, yeas 34, nays 16. (4/17/23)</w:t>
            </w:r>
            <w:br/>
            <w:r>
              <w:rPr>
                <w:sz w:val="20"/>
              </w:rPr>
              <w:t>Passed House, yeas 60, nays 36. (4/20/23)</w:t>
            </w:r>
          </w:p>
        </w:tc>
        <w:tc>
          <w:tcPr>
            <w:tcW w:w="4320" w:type="dxa"/>
            <w:noWrap w:val="false"/>
          </w:tcPr>
          <w:p>
            <w:pPr>
              <w:spacing w:before="0" w:after="0"/>
            </w:pPr>
            <w:r>
              <w:t/>
            </w:r>
          </w:p>
        </w:tc>
      </w:tr>
      <w:tr>
        <w:trPr>
          <w:cantSplit w:val="true"/>
        </w:trPr>
        <w:tc>
          <w:tcPr>
            <w:tcW w:w="2160" w:type="dxa"/>
            <w:noWrap w:val="false"/>
          </w:tcPr>
          <w:p>
            <w:hyperlink r:id="rId17">
              <w:r>
                <w:rPr>
                  <w:rStyle w:val="Hyperlink"/>
                </w:rPr>
                <w:t xml:space="preserve">SF 496</w:t>
              </w:r>
            </w:hyperlink>
          </w:p>
        </w:tc>
        <w:tc>
          <w:tcPr>
            <w:tcW w:w="3600" w:type="dxa"/>
            <w:noWrap w:val="false"/>
          </w:tcPr>
          <w:p>
            <w:r>
              <w:rPr>
                <w:sz w:val="20"/>
              </w:rPr>
              <w:t>A bill for an act relating to children and students, including establishing a parent's or guardian's right to make decisions affecting the parent's or guardian's child, authorizing the parent or guardian of a student enrolled in a school district to enroll the student in another attendance center within the same school district in certain specified circumstances, prohibiting instruction related to gender identity and sexual orientation in school districts, charter schools, and innovation zone schools in kindergarten through grade six, and modifying provisions related to student health screenings, school district library programs, the educational program provided to students enrolled in school districts, accredited nonpublic schools, and charter schools, other duties of school districts, accredited nonpublic schools, the department of education, the board of educational examiners, and the governing boards of charter schools and innovation zone schools, competent private instruction, and special education, and including effective date provisions. (Formerly SSB 1145.) Effective date: Enactment, 07/01/2023</w:t>
            </w:r>
          </w:p>
        </w:tc>
        <w:tc>
          <w:tcPr>
            <w:tcW w:w="4320" w:type="dxa"/>
            <w:noWrap w:val="false"/>
          </w:tcPr>
          <w:p>
            <w:r>
              <w:rPr>
                <w:sz w:val="20"/>
              </w:rPr>
              <w:t>Message from House. (4/24/23)</w:t>
            </w:r>
            <w:br/>
            <w:r>
              <w:rPr>
                <w:sz w:val="20"/>
              </w:rPr>
              <w:t>Passed Senate, yeas 34, nays 16. (3/22/23)</w:t>
            </w:r>
            <w:br/>
            <w:r>
              <w:rPr>
                <w:sz w:val="20"/>
              </w:rPr>
              <w:t>Passed House, yeas 55, nays 42. (4/4/23)</w:t>
            </w:r>
            <w:br/>
            <w:r>
              <w:rPr>
                <w:sz w:val="20"/>
              </w:rPr>
              <w:t>Passed Senate, yeas 34, nays 16. (4/19/23)</w:t>
            </w:r>
            <w:br/>
            <w:r>
              <w:rPr>
                <w:sz w:val="20"/>
              </w:rPr>
              <w:t>Passed House, yeas 57, nays 38. (4/20/23)</w:t>
            </w:r>
          </w:p>
        </w:tc>
        <w:tc>
          <w:tcPr>
            <w:tcW w:w="4320" w:type="dxa"/>
            <w:noWrap w:val="false"/>
          </w:tcPr>
          <w:p>
            <w:pPr>
              <w:spacing w:before="0" w:after="0"/>
            </w:pPr>
            <w:r>
              <w:t/>
            </w:r>
          </w:p>
        </w:tc>
      </w:tr>
    </w:tbl>
    <w:p>
      <w:r>
        <w:rPr>
          <w:sz w:val="24"/>
        </w:rPr>
        <w:t/>
      </w:r>
    </w:p>
    <w:p>
      <w:pPr>
        <w:spacing w:before="0" w:after="0"/>
      </w:pPr>
      <w:r>
        <w:rPr>
          <w:b w:val="true"/>
          <w:sz w:val="48"/>
          <w:u w:val="single"/>
        </w:rPr>
        <w:t>Passed One Chamber</w:t>
      </w:r>
    </w:p>
    <w:p>
      <w:r>
        <w:rPr>
          <w:sz w:val="48"/>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18">
              <w:r>
                <w:rPr>
                  <w:rStyle w:val="Hyperlink"/>
                </w:rPr>
                <w:t xml:space="preserve">HF 253</w:t>
              </w:r>
            </w:hyperlink>
          </w:p>
          <w:p>
            <w:hyperlink r:id="rId19">
              <w:r>
                <w:rPr>
                  <w:rStyle w:val="Hyperlink"/>
                </w:rPr>
                <w:t xml:space="preserve">CO:HF 39</w:t>
              </w:r>
            </w:hyperlink>
          </w:p>
        </w:tc>
        <w:tc>
          <w:tcPr>
            <w:tcW w:w="3600" w:type="dxa"/>
            <w:noWrap w:val="false"/>
          </w:tcPr>
          <w:p>
            <w:r>
              <w:rPr>
                <w:sz w:val="20"/>
              </w:rPr>
              <w:t>A bill for an act authorizing students enrolled in charter schools to participate in extracurricular athletic activities provided by the student's school district of residence.(Formerly HF 39.)</w:t>
            </w:r>
          </w:p>
        </w:tc>
        <w:tc>
          <w:tcPr>
            <w:tcW w:w="4320" w:type="dxa"/>
            <w:noWrap w:val="false"/>
          </w:tcPr>
          <w:p>
            <w:r>
              <w:rPr>
                <w:sz w:val="20"/>
              </w:rPr>
              <w:t>Subcommittee: Cournoyer, Celsi, and Westrich. (3/29/23)</w:t>
            </w:r>
          </w:p>
        </w:tc>
        <w:tc>
          <w:tcPr>
            <w:tcW w:w="4320" w:type="dxa"/>
            <w:noWrap w:val="false"/>
          </w:tcPr>
          <w:p>
            <w:pPr>
              <w:spacing w:before="0" w:after="0"/>
            </w:pPr>
            <w:r>
              <w:t/>
            </w:r>
          </w:p>
        </w:tc>
      </w:tr>
      <w:tr>
        <w:trPr>
          <w:cantSplit w:val="true"/>
        </w:trPr>
        <w:tc>
          <w:tcPr>
            <w:tcW w:w="2160" w:type="dxa"/>
            <w:noWrap w:val="false"/>
          </w:tcPr>
          <w:p>
            <w:hyperlink r:id="rId20">
              <w:r>
                <w:rPr>
                  <w:rStyle w:val="Hyperlink"/>
                </w:rPr>
                <w:t xml:space="preserve">HF 429</w:t>
              </w:r>
            </w:hyperlink>
          </w:p>
        </w:tc>
        <w:tc>
          <w:tcPr>
            <w:tcW w:w="3600" w:type="dxa"/>
            <w:noWrap w:val="false"/>
          </w:tcPr>
          <w:p>
            <w:r>
              <w:rPr>
                <w:sz w:val="20"/>
              </w:rPr>
              <w:t>A bill for an act relating to school districts, including authorizing the parent or guardian of a student enrolled in a school district to enroll the student in another attendance center within the same school district in certain specified circumstances, requiring school district employees to provide notice to the parents or guardians of students enrolled in the school district if the employee witnesses the student being physically injured, harassed, or bullied, and including effective date provisions. (Formerly HF 17.)</w:t>
            </w:r>
          </w:p>
        </w:tc>
        <w:tc>
          <w:tcPr>
            <w:tcW w:w="4320" w:type="dxa"/>
            <w:noWrap w:val="false"/>
          </w:tcPr>
          <w:p>
            <w:r>
              <w:rPr>
                <w:sz w:val="20"/>
              </w:rPr>
              <w:t>Subcommittee: Kraayenbrink, Giddens, and Rozenboom. (3/29/23)</w:t>
            </w:r>
          </w:p>
        </w:tc>
        <w:tc>
          <w:tcPr>
            <w:tcW w:w="4320" w:type="dxa"/>
            <w:noWrap w:val="false"/>
          </w:tcPr>
          <w:p>
            <w:pPr>
              <w:spacing w:before="0" w:after="0"/>
            </w:pPr>
            <w:r>
              <w:t/>
            </w:r>
          </w:p>
        </w:tc>
      </w:tr>
      <w:tr>
        <w:trPr>
          <w:cantSplit w:val="true"/>
        </w:trPr>
        <w:tc>
          <w:tcPr>
            <w:tcW w:w="2160" w:type="dxa"/>
            <w:noWrap w:val="false"/>
          </w:tcPr>
          <w:p>
            <w:hyperlink r:id="rId21">
              <w:r>
                <w:rPr>
                  <w:rStyle w:val="Hyperlink"/>
                </w:rPr>
                <w:t xml:space="preserve">HF 430</w:t>
              </w:r>
            </w:hyperlink>
          </w:p>
        </w:tc>
        <w:tc>
          <w:tcPr>
            <w:tcW w:w="3600" w:type="dxa"/>
            <w:noWrap w:val="false"/>
          </w:tcPr>
          <w:p>
            <w:r>
              <w:rPr>
                <w:sz w:val="20"/>
              </w:rPr>
              <w:t>A bill for an act relating to education, including requirements related to mandatory reporters, a process for investigating complaints against school employees, and the responsibilities of the department of education, school districts, charter schools, accredited nonpublic schools, and the board of educational examiners. (Formerly HF 10.)</w:t>
            </w:r>
          </w:p>
        </w:tc>
        <w:tc>
          <w:tcPr>
            <w:tcW w:w="4320" w:type="dxa"/>
            <w:noWrap w:val="false"/>
          </w:tcPr>
          <w:p>
            <w:r>
              <w:rPr>
                <w:sz w:val="20"/>
              </w:rPr>
              <w:t>Placed on calendar under unfinished business. (4/6/23)</w:t>
            </w:r>
          </w:p>
        </w:tc>
        <w:tc>
          <w:tcPr>
            <w:tcW w:w="4320" w:type="dxa"/>
            <w:noWrap w:val="false"/>
          </w:tcPr>
          <w:p>
            <w:pPr>
              <w:spacing w:before="0" w:after="0"/>
            </w:pPr>
            <w:r>
              <w:t/>
            </w:r>
          </w:p>
        </w:tc>
      </w:tr>
      <w:tr>
        <w:trPr>
          <w:cantSplit w:val="true"/>
        </w:trPr>
        <w:tc>
          <w:tcPr>
            <w:tcW w:w="2160" w:type="dxa"/>
            <w:noWrap w:val="false"/>
          </w:tcPr>
          <w:p>
            <w:hyperlink r:id="rId22">
              <w:r>
                <w:rPr>
                  <w:rStyle w:val="Hyperlink"/>
                </w:rPr>
                <w:t xml:space="preserve">HF 672</w:t>
              </w:r>
            </w:hyperlink>
          </w:p>
          <w:p>
            <w:hyperlink r:id="rId23">
              <w:r>
                <w:rPr>
                  <w:rStyle w:val="Hyperlink"/>
                </w:rPr>
                <w:t xml:space="preserve">CO:HF 224</w:t>
              </w:r>
            </w:hyperlink>
          </w:p>
        </w:tc>
        <w:tc>
          <w:tcPr>
            <w:tcW w:w="3600" w:type="dxa"/>
            <w:noWrap w:val="false"/>
          </w:tcPr>
          <w:p>
            <w:r>
              <w:rPr>
                <w:sz w:val="20"/>
              </w:rPr>
              <w:t>A bill for an act relating to certain specified employees of school districts, accredited nonpublic schools, and charter schools, including renewal requirements associated with licenses issued by the board of educational examiners to practitioners with master's or doctoral degrees, fees associated with the review of certain specified records, and background checks for employees of school districts, accredited nonpublic schools, and charter schools.(Formerly HF 355, HF 224.)</w:t>
            </w:r>
          </w:p>
        </w:tc>
        <w:tc>
          <w:tcPr>
            <w:tcW w:w="4320" w:type="dxa"/>
            <w:shd w:val="clear" w:color="auto" w:fill="FFFF66" w:themeFillTint="30"/>
            <w:noWrap w:val="false"/>
          </w:tcPr>
          <w:p>
            <w:r>
              <w:rPr>
                <w:sz w:val="20"/>
              </w:rPr>
              <w:t>Subcommittee recommends passage. []. (4/25/23)</w:t>
            </w:r>
          </w:p>
        </w:tc>
        <w:tc>
          <w:tcPr>
            <w:tcW w:w="4320" w:type="dxa"/>
            <w:noWrap w:val="false"/>
          </w:tcPr>
          <w:p>
            <w:pPr>
              <w:spacing w:before="0" w:after="0"/>
            </w:pPr>
            <w:r>
              <w:t/>
            </w:r>
          </w:p>
        </w:tc>
      </w:tr>
    </w:tbl>
    <w:p>
      <w:r>
        <w:rPr>
          <w:sz w:val="24"/>
        </w:rPr>
        <w:t/>
      </w:r>
    </w:p>
    <w:p>
      <w:pPr>
        <w:spacing w:before="0" w:after="0"/>
      </w:pPr>
      <w:r>
        <w:rPr>
          <w:b w:val="true"/>
          <w:sz w:val="48"/>
          <w:u w:val="single"/>
        </w:rPr>
        <w:t>Did not advance</w:t>
      </w:r>
    </w:p>
    <w:p>
      <w:r>
        <w:rPr>
          <w:sz w:val="48"/>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24">
              <w:r>
                <w:rPr>
                  <w:rStyle w:val="Hyperlink"/>
                </w:rPr>
                <w:t xml:space="preserve">HF 5</w:t>
              </w:r>
            </w:hyperlink>
          </w:p>
        </w:tc>
        <w:tc>
          <w:tcPr>
            <w:tcW w:w="3600" w:type="dxa"/>
            <w:noWrap w:val="false"/>
          </w:tcPr>
          <w:p>
            <w:r>
              <w:rPr>
                <w:sz w:val="20"/>
              </w:rPr>
              <w:t>A bill for an act relating to education, including requiring the boards of directors of school districts and the governing boards of charter schools to publish certain specified information, modifying provisions related to required social studies instruction, and providing civil penalties.</w:t>
            </w:r>
          </w:p>
        </w:tc>
        <w:tc>
          <w:tcPr>
            <w:tcW w:w="4320" w:type="dxa"/>
            <w:noWrap w:val="false"/>
          </w:tcPr>
          <w:p>
            <w:r>
              <w:rPr>
                <w:sz w:val="20"/>
              </w:rPr>
              <w:t>Subcommittee recommends passage. Vote Total: 2-1. (2/1/23)</w:t>
            </w:r>
          </w:p>
        </w:tc>
        <w:tc>
          <w:tcPr>
            <w:tcW w:w="4320" w:type="dxa"/>
            <w:noWrap w:val="false"/>
          </w:tcPr>
          <w:p>
            <w:pPr>
              <w:spacing w:before="0" w:after="0"/>
            </w:pPr>
            <w:r>
              <w:t/>
            </w:r>
          </w:p>
        </w:tc>
      </w:tr>
      <w:tr>
        <w:trPr>
          <w:cantSplit w:val="true"/>
        </w:trPr>
        <w:tc>
          <w:tcPr>
            <w:tcW w:w="2160" w:type="dxa"/>
            <w:noWrap w:val="false"/>
          </w:tcPr>
          <w:p>
            <w:hyperlink r:id="rId25">
              <w:r>
                <w:rPr>
                  <w:rStyle w:val="Hyperlink"/>
                </w:rPr>
                <w:t xml:space="preserve">HF 95</w:t>
              </w:r>
            </w:hyperlink>
          </w:p>
        </w:tc>
        <w:tc>
          <w:tcPr>
            <w:tcW w:w="3600" w:type="dxa"/>
            <w:noWrap w:val="false"/>
          </w:tcPr>
          <w:p>
            <w:r>
              <w:rPr>
                <w:sz w:val="20"/>
              </w:rPr>
              <w:t>A bill for an act establishing a temporary initial teaching license to be issued by the board of educational examiners to applicants who complete alternative teacher certification programs.</w:t>
            </w:r>
          </w:p>
        </w:tc>
        <w:tc>
          <w:tcPr>
            <w:tcW w:w="4320" w:type="dxa"/>
            <w:noWrap w:val="false"/>
          </w:tcPr>
          <w:p>
            <w:r>
              <w:rPr>
                <w:sz w:val="20"/>
              </w:rPr>
              <w:t>Introduced, referred to Education. (1/23/23)</w:t>
            </w:r>
          </w:p>
        </w:tc>
        <w:tc>
          <w:tcPr>
            <w:tcW w:w="4320" w:type="dxa"/>
            <w:noWrap w:val="false"/>
          </w:tcPr>
          <w:p>
            <w:pPr>
              <w:spacing w:before="0" w:after="0"/>
            </w:pPr>
            <w:r>
              <w:t/>
            </w:r>
          </w:p>
        </w:tc>
      </w:tr>
      <w:tr>
        <w:trPr>
          <w:cantSplit w:val="true"/>
        </w:trPr>
        <w:tc>
          <w:tcPr>
            <w:tcW w:w="2160" w:type="dxa"/>
            <w:noWrap w:val="false"/>
          </w:tcPr>
          <w:p>
            <w:hyperlink r:id="rId26">
              <w:r>
                <w:rPr>
                  <w:rStyle w:val="Hyperlink"/>
                </w:rPr>
                <w:t xml:space="preserve">HF 132</w:t>
              </w:r>
            </w:hyperlink>
          </w:p>
          <w:p>
            <w:hyperlink r:id="rId27">
              <w:r>
                <w:rPr>
                  <w:rStyle w:val="Hyperlink"/>
                </w:rPr>
                <w:t xml:space="preserve">CO:HF 12</w:t>
              </w:r>
            </w:hyperlink>
          </w:p>
        </w:tc>
        <w:tc>
          <w:tcPr>
            <w:tcW w:w="3600" w:type="dxa"/>
            <w:noWrap w:val="false"/>
          </w:tcPr>
          <w:p>
            <w:r>
              <w:rPr>
                <w:sz w:val="20"/>
              </w:rPr>
              <w:t>A bill for an act relating to social studies instruction in public schools, accredited nonpublic schools, and charter schools.(Formerly HF 12.)</w:t>
            </w:r>
          </w:p>
        </w:tc>
        <w:tc>
          <w:tcPr>
            <w:tcW w:w="4320" w:type="dxa"/>
            <w:noWrap w:val="false"/>
          </w:tcPr>
          <w:p>
            <w:r>
              <w:rPr>
                <w:sz w:val="20"/>
              </w:rPr>
              <w:t>Introduced, placed on calendar. (1/26/23)</w:t>
            </w:r>
          </w:p>
        </w:tc>
        <w:tc>
          <w:tcPr>
            <w:tcW w:w="4320" w:type="dxa"/>
            <w:noWrap w:val="false"/>
          </w:tcPr>
          <w:p>
            <w:pPr>
              <w:spacing w:before="0" w:after="0"/>
            </w:pPr>
            <w:r>
              <w:t/>
            </w:r>
          </w:p>
        </w:tc>
      </w:tr>
      <w:tr>
        <w:trPr>
          <w:cantSplit w:val="true"/>
        </w:trPr>
        <w:tc>
          <w:tcPr>
            <w:tcW w:w="2160" w:type="dxa"/>
            <w:noWrap w:val="false"/>
          </w:tcPr>
          <w:p>
            <w:hyperlink r:id="rId28">
              <w:r>
                <w:rPr>
                  <w:rStyle w:val="Hyperlink"/>
                </w:rPr>
                <w:t xml:space="preserve">HF 180</w:t>
              </w:r>
            </w:hyperlink>
          </w:p>
          <w:p>
            <w:hyperlink r:id="rId29">
              <w:r>
                <w:rPr>
                  <w:rStyle w:val="Hyperlink"/>
                </w:rPr>
                <w:t xml:space="preserve">CO:HF 9</w:t>
              </w:r>
            </w:hyperlink>
          </w:p>
        </w:tc>
        <w:tc>
          <w:tcPr>
            <w:tcW w:w="3600" w:type="dxa"/>
            <w:noWrap w:val="false"/>
          </w:tcPr>
          <w:p>
            <w:r>
              <w:rPr>
                <w:sz w:val="20"/>
              </w:rPr>
              <w:t>A bill for an act relating to parental and guardian consent and information regarding the gender identity of students enrolled in a school district or charter school.(Formerly HF 9.)</w:t>
            </w:r>
          </w:p>
        </w:tc>
        <w:tc>
          <w:tcPr>
            <w:tcW w:w="4320" w:type="dxa"/>
            <w:noWrap w:val="false"/>
          </w:tcPr>
          <w:p>
            <w:r>
              <w:rPr>
                <w:sz w:val="20"/>
              </w:rPr>
              <w:t>Placed on calendar. (2/1/23)</w:t>
            </w:r>
          </w:p>
        </w:tc>
        <w:tc>
          <w:tcPr>
            <w:tcW w:w="4320" w:type="dxa"/>
            <w:noWrap w:val="false"/>
          </w:tcPr>
          <w:p>
            <w:pPr>
              <w:spacing w:before="0" w:after="0"/>
            </w:pPr>
            <w:r>
              <w:t/>
            </w:r>
          </w:p>
        </w:tc>
      </w:tr>
      <w:tr>
        <w:trPr>
          <w:cantSplit w:val="true"/>
        </w:trPr>
        <w:tc>
          <w:tcPr>
            <w:tcW w:w="2160" w:type="dxa"/>
            <w:noWrap w:val="false"/>
          </w:tcPr>
          <w:p>
            <w:hyperlink r:id="rId30">
              <w:r>
                <w:rPr>
                  <w:rStyle w:val="Hyperlink"/>
                </w:rPr>
                <w:t xml:space="preserve">HF 233</w:t>
              </w:r>
            </w:hyperlink>
          </w:p>
        </w:tc>
        <w:tc>
          <w:tcPr>
            <w:tcW w:w="3600" w:type="dxa"/>
            <w:noWrap w:val="false"/>
          </w:tcPr>
          <w:p>
            <w:r>
              <w:rPr>
                <w:sz w:val="20"/>
              </w:rPr>
              <w:t>A bill for an act relating to determination of school district enrollments and education savings account participation and including effective date and applicability provisions.</w:t>
            </w:r>
          </w:p>
        </w:tc>
        <w:tc>
          <w:tcPr>
            <w:tcW w:w="4320" w:type="dxa"/>
            <w:noWrap w:val="false"/>
          </w:tcPr>
          <w:p>
            <w:r>
              <w:rPr>
                <w:sz w:val="20"/>
              </w:rPr>
              <w:t>Subcommittee recommends passage. Vote Total: 2-0. (2/21/23)</w:t>
            </w:r>
          </w:p>
        </w:tc>
        <w:tc>
          <w:tcPr>
            <w:tcW w:w="4320" w:type="dxa"/>
            <w:noWrap w:val="false"/>
          </w:tcPr>
          <w:p>
            <w:pPr>
              <w:spacing w:before="0" w:after="0"/>
            </w:pPr>
            <w:r>
              <w:t/>
            </w:r>
          </w:p>
        </w:tc>
      </w:tr>
      <w:tr>
        <w:trPr>
          <w:cantSplit w:val="true"/>
        </w:trPr>
        <w:tc>
          <w:tcPr>
            <w:tcW w:w="2160" w:type="dxa"/>
            <w:noWrap w:val="false"/>
          </w:tcPr>
          <w:p>
            <w:hyperlink r:id="rId31">
              <w:r>
                <w:rPr>
                  <w:rStyle w:val="Hyperlink"/>
                </w:rPr>
                <w:t xml:space="preserve">HF 361</w:t>
              </w:r>
            </w:hyperlink>
          </w:p>
          <w:p>
            <w:hyperlink r:id="rId32">
              <w:r>
                <w:rPr>
                  <w:rStyle w:val="Hyperlink"/>
                </w:rPr>
                <w:t xml:space="preserve">CO:SF 305</w:t>
              </w:r>
            </w:hyperlink>
          </w:p>
        </w:tc>
        <w:tc>
          <w:tcPr>
            <w:tcW w:w="3600" w:type="dxa"/>
            <w:noWrap w:val="false"/>
          </w:tcPr>
          <w:p>
            <w:r>
              <w:rPr>
                <w:sz w:val="20"/>
              </w:rPr>
              <w:t>A bill for an act relating to the dissemination of certain specified materials, including the prohibition of certain specified materials in schools and civil actions to determine obscenity, modifying the responsibilities of the department of education, and providing civil penalties.</w:t>
            </w:r>
          </w:p>
        </w:tc>
        <w:tc>
          <w:tcPr>
            <w:tcW w:w="4320" w:type="dxa"/>
            <w:noWrap w:val="false"/>
          </w:tcPr>
          <w:p>
            <w:r>
              <w:rPr>
                <w:sz w:val="20"/>
              </w:rPr>
              <w:t>Introduced, referred to Education. (2/20/23)</w:t>
            </w:r>
          </w:p>
        </w:tc>
        <w:tc>
          <w:tcPr>
            <w:tcW w:w="4320" w:type="dxa"/>
            <w:noWrap w:val="false"/>
          </w:tcPr>
          <w:p>
            <w:pPr>
              <w:spacing w:before="0" w:after="0"/>
            </w:pPr>
            <w:r>
              <w:t/>
            </w:r>
          </w:p>
        </w:tc>
      </w:tr>
      <w:tr>
        <w:trPr>
          <w:cantSplit w:val="true"/>
        </w:trPr>
        <w:tc>
          <w:tcPr>
            <w:tcW w:w="2160" w:type="dxa"/>
            <w:noWrap w:val="false"/>
          </w:tcPr>
          <w:p>
            <w:hyperlink r:id="rId33">
              <w:r>
                <w:rPr>
                  <w:rStyle w:val="Hyperlink"/>
                </w:rPr>
                <w:t xml:space="preserve">HF 606</w:t>
              </w:r>
            </w:hyperlink>
          </w:p>
        </w:tc>
        <w:tc>
          <w:tcPr>
            <w:tcW w:w="3600" w:type="dxa"/>
            <w:noWrap w:val="false"/>
          </w:tcPr>
          <w:p>
            <w:r>
              <w:rPr>
                <w:sz w:val="20"/>
              </w:rPr>
              <w:t>A bill for an act relating to nonpublic schools, including authorizing nonpublic schools to withdraw applications for accreditation, authorizing accredited nonpublic schools to terminate accreditation, and including applicability provisions.(Formerly HF 393.)</w:t>
            </w:r>
          </w:p>
        </w:tc>
        <w:tc>
          <w:tcPr>
            <w:tcW w:w="4320" w:type="dxa"/>
            <w:noWrap w:val="false"/>
          </w:tcPr>
          <w:p>
            <w:r>
              <w:rPr>
                <w:sz w:val="20"/>
              </w:rPr>
              <w:t>Introduced, placed on calendar. (3/3/23)</w:t>
            </w:r>
          </w:p>
        </w:tc>
        <w:tc>
          <w:tcPr>
            <w:tcW w:w="4320" w:type="dxa"/>
            <w:noWrap w:val="false"/>
          </w:tcPr>
          <w:p>
            <w:pPr>
              <w:spacing w:before="0" w:after="0"/>
            </w:pPr>
            <w:r>
              <w:t/>
            </w:r>
          </w:p>
        </w:tc>
      </w:tr>
      <w:tr>
        <w:trPr>
          <w:cantSplit w:val="true"/>
        </w:trPr>
        <w:tc>
          <w:tcPr>
            <w:tcW w:w="2160" w:type="dxa"/>
            <w:noWrap w:val="false"/>
          </w:tcPr>
          <w:p>
            <w:hyperlink r:id="rId34">
              <w:r>
                <w:rPr>
                  <w:rStyle w:val="Hyperlink"/>
                </w:rPr>
                <w:t xml:space="preserve">HF 620</w:t>
              </w:r>
            </w:hyperlink>
          </w:p>
        </w:tc>
        <w:tc>
          <w:tcPr>
            <w:tcW w:w="3600" w:type="dxa"/>
            <w:noWrap w:val="false"/>
          </w:tcPr>
          <w:p>
            <w:r>
              <w:rPr>
                <w:sz w:val="20"/>
              </w:rPr>
              <w:t>A bill for an act prohibiting school districts and charter schools from taking disciplinary action against employees, contractors, or students for the use of legal names or for the failure to use personal pronouns in official communications, and providing civil penalties.(Formerly HF 367.)</w:t>
            </w:r>
          </w:p>
        </w:tc>
        <w:tc>
          <w:tcPr>
            <w:tcW w:w="4320" w:type="dxa"/>
            <w:noWrap w:val="false"/>
          </w:tcPr>
          <w:p>
            <w:r>
              <w:rPr>
                <w:sz w:val="20"/>
              </w:rPr>
              <w:t>Introduced, placed on calendar. (3/3/23)</w:t>
            </w:r>
          </w:p>
        </w:tc>
        <w:tc>
          <w:tcPr>
            <w:tcW w:w="4320" w:type="dxa"/>
            <w:noWrap w:val="false"/>
          </w:tcPr>
          <w:p>
            <w:pPr>
              <w:spacing w:before="0" w:after="0"/>
            </w:pPr>
            <w:r>
              <w:t/>
            </w:r>
          </w:p>
        </w:tc>
      </w:tr>
      <w:tr>
        <w:trPr>
          <w:cantSplit w:val="true"/>
        </w:trPr>
        <w:tc>
          <w:tcPr>
            <w:tcW w:w="2160" w:type="dxa"/>
            <w:noWrap w:val="false"/>
          </w:tcPr>
          <w:p>
            <w:hyperlink r:id="rId35">
              <w:r>
                <w:rPr>
                  <w:rStyle w:val="Hyperlink"/>
                </w:rPr>
                <w:t xml:space="preserve">HSB 112</w:t>
              </w:r>
            </w:hyperlink>
          </w:p>
        </w:tc>
        <w:tc>
          <w:tcPr>
            <w:tcW w:w="3600" w:type="dxa"/>
            <w:noWrap w:val="false"/>
          </w:tcPr>
          <w:p>
            <w:r>
              <w:rPr>
                <w:sz w:val="20"/>
              </w:rPr>
              <w:t>A bill for an act relating to curriculum and staff or student training provided by employees or contractors of school districts, including implementing provisions related to noncompliance, modifying the responsibilities of the department of education and board of educational examiners, and providing civil penalties.</w:t>
            </w:r>
          </w:p>
        </w:tc>
        <w:tc>
          <w:tcPr>
            <w:tcW w:w="4320" w:type="dxa"/>
            <w:noWrap w:val="false"/>
          </w:tcPr>
          <w:p>
            <w:r>
              <w:rPr>
                <w:sz w:val="20"/>
              </w:rPr>
              <w:t>Subcommittee recommends passage. Vote Total: 2-0. (2/1/23)</w:t>
            </w:r>
          </w:p>
        </w:tc>
        <w:tc>
          <w:tcPr>
            <w:tcW w:w="4320" w:type="dxa"/>
            <w:noWrap w:val="false"/>
          </w:tcPr>
          <w:p>
            <w:pPr>
              <w:spacing w:before="0" w:after="0"/>
            </w:pPr>
            <w:r>
              <w:t/>
            </w:r>
          </w:p>
          <w:p>
            <w:pPr>
              <w:spacing w:before="0" w:after="0"/>
            </w:pPr>
            <w:r>
              <w:t>This bill was unanimously passed by the Representatives. The Department of Education, Iowa Association of School Boards, and Iowa State Education Association were all against the bill. There was no due process to the claims being brought up against educators, and there was no chance of rebuttal. Representative Cahill echoed those concerns and wanted to make sure changes were made to the bill to fix those concerns. </w:t>
            </w:r>
          </w:p>
          <w:p>
            <w:pPr>
              <w:spacing w:before="0" w:after="0"/>
            </w:pPr>
            <w:r>
              <w:t/>
            </w:r>
          </w:p>
        </w:tc>
      </w:tr>
      <w:tr>
        <w:trPr>
          <w:cantSplit w:val="true"/>
        </w:trPr>
        <w:tc>
          <w:tcPr>
            <w:tcW w:w="2160" w:type="dxa"/>
            <w:noWrap w:val="false"/>
          </w:tcPr>
          <w:p>
            <w:hyperlink r:id="rId36">
              <w:r>
                <w:rPr>
                  <w:rStyle w:val="Hyperlink"/>
                </w:rPr>
                <w:t xml:space="preserve">HSB 138</w:t>
              </w:r>
            </w:hyperlink>
          </w:p>
        </w:tc>
        <w:tc>
          <w:tcPr>
            <w:tcW w:w="3600" w:type="dxa"/>
            <w:noWrap w:val="false"/>
          </w:tcPr>
          <w:p>
            <w:r>
              <w:rPr>
                <w:sz w:val="20"/>
              </w:rPr>
              <w:t>A bill for an act relating to assessments required to be administered to students participating in the education savings account program and including effective date and retroactive applicability provisions.</w:t>
            </w:r>
          </w:p>
        </w:tc>
        <w:tc>
          <w:tcPr>
            <w:tcW w:w="4320" w:type="dxa"/>
            <w:noWrap w:val="false"/>
          </w:tcPr>
          <w:p>
            <w:r>
              <w:rPr>
                <w:sz w:val="20"/>
              </w:rPr>
              <w:t>Subcommittee recommends passage. Vote Total: 2-0. (2/9/23)</w:t>
            </w:r>
          </w:p>
        </w:tc>
        <w:tc>
          <w:tcPr>
            <w:tcW w:w="4320" w:type="dxa"/>
            <w:noWrap w:val="false"/>
          </w:tcPr>
          <w:p>
            <w:pPr>
              <w:spacing w:before="0" w:after="0"/>
            </w:pPr>
            <w:r>
              <w:t/>
            </w:r>
          </w:p>
        </w:tc>
      </w:tr>
      <w:tr>
        <w:trPr>
          <w:cantSplit w:val="true"/>
        </w:trPr>
        <w:tc>
          <w:tcPr>
            <w:tcW w:w="2160" w:type="dxa"/>
            <w:noWrap w:val="false"/>
          </w:tcPr>
          <w:p>
            <w:hyperlink r:id="rId37">
              <w:r>
                <w:rPr>
                  <w:rStyle w:val="Hyperlink"/>
                </w:rPr>
                <w:t xml:space="preserve">SF 81</w:t>
              </w:r>
            </w:hyperlink>
          </w:p>
        </w:tc>
        <w:tc>
          <w:tcPr>
            <w:tcW w:w="3600" w:type="dxa"/>
            <w:noWrap w:val="false"/>
          </w:tcPr>
          <w:p>
            <w:r>
              <w:rPr>
                <w:sz w:val="20"/>
              </w:rPr>
              <w:t>A bill for an act relating to racism or sexism trainings at, and diversity and inclusion efforts by, governmental agencies and entities, school districts, and public postsecondary educational institutions, and including civil penalties.</w:t>
            </w:r>
          </w:p>
        </w:tc>
        <w:tc>
          <w:tcPr>
            <w:tcW w:w="4320" w:type="dxa"/>
            <w:noWrap w:val="false"/>
          </w:tcPr>
          <w:p>
            <w:r>
              <w:rPr>
                <w:sz w:val="20"/>
              </w:rPr>
              <w:t>Subcommittee: Bousselot, Evans, and Petersen. (1/18/23)</w:t>
            </w:r>
          </w:p>
        </w:tc>
        <w:tc>
          <w:tcPr>
            <w:tcW w:w="4320" w:type="dxa"/>
            <w:noWrap w:val="false"/>
          </w:tcPr>
          <w:p>
            <w:pPr>
              <w:spacing w:before="0" w:after="0"/>
            </w:pPr>
            <w:r>
              <w:t/>
            </w:r>
          </w:p>
        </w:tc>
      </w:tr>
      <w:tr>
        <w:trPr>
          <w:cantSplit w:val="true"/>
        </w:trPr>
        <w:tc>
          <w:tcPr>
            <w:tcW w:w="2160" w:type="dxa"/>
            <w:noWrap w:val="false"/>
          </w:tcPr>
          <w:p>
            <w:hyperlink r:id="rId38">
              <w:r>
                <w:rPr>
                  <w:rStyle w:val="Hyperlink"/>
                </w:rPr>
                <w:t xml:space="preserve">SF 83</w:t>
              </w:r>
            </w:hyperlink>
          </w:p>
        </w:tc>
        <w:tc>
          <w:tcPr>
            <w:tcW w:w="3600" w:type="dxa"/>
            <w:noWrap w:val="false"/>
          </w:tcPr>
          <w:p>
            <w:r>
              <w:rPr>
                <w:sz w:val="20"/>
              </w:rPr>
              <w:t>A bill for an act relating to instruction relating to gender identity in the curriculum provided to students enrolled in kindergarten through grade eight in school districts, accredited nonpublic schools, and charter schools and creating a private cause of action.</w:t>
            </w:r>
          </w:p>
        </w:tc>
        <w:tc>
          <w:tcPr>
            <w:tcW w:w="4320" w:type="dxa"/>
            <w:noWrap w:val="false"/>
          </w:tcPr>
          <w:p>
            <w:r>
              <w:rPr>
                <w:sz w:val="20"/>
              </w:rPr>
              <w:t>Subcommittee recommends passage. []. (1/31/23)</w:t>
            </w:r>
          </w:p>
        </w:tc>
        <w:tc>
          <w:tcPr>
            <w:tcW w:w="4320" w:type="dxa"/>
            <w:noWrap w:val="false"/>
          </w:tcPr>
          <w:p>
            <w:pPr>
              <w:spacing w:before="0" w:after="0"/>
            </w:pPr>
            <w:r>
              <w:t/>
            </w:r>
          </w:p>
        </w:tc>
      </w:tr>
      <w:tr>
        <w:trPr>
          <w:cantSplit w:val="true"/>
        </w:trPr>
        <w:tc>
          <w:tcPr>
            <w:tcW w:w="2160" w:type="dxa"/>
            <w:noWrap w:val="false"/>
          </w:tcPr>
          <w:p>
            <w:hyperlink r:id="rId39">
              <w:r>
                <w:rPr>
                  <w:rStyle w:val="Hyperlink"/>
                </w:rPr>
                <w:t xml:space="preserve">SF 247</w:t>
              </w:r>
            </w:hyperlink>
          </w:p>
          <w:p>
            <w:hyperlink r:id="rId40">
              <w:r>
                <w:rPr>
                  <w:rStyle w:val="Hyperlink"/>
                </w:rPr>
                <w:t xml:space="preserve">CO:SF 9</w:t>
              </w:r>
            </w:hyperlink>
          </w:p>
        </w:tc>
        <w:tc>
          <w:tcPr>
            <w:tcW w:w="3600" w:type="dxa"/>
            <w:noWrap w:val="false"/>
          </w:tcPr>
          <w:p>
            <w:r>
              <w:rPr>
                <w:sz w:val="20"/>
              </w:rPr>
              <w:t>A bill for an act relating to supplemental aid and modified supplemental amounts for certain school districts relating to open enrollment and including effective date and applicability provisions.(Formerly SF 9.)</w:t>
            </w:r>
          </w:p>
        </w:tc>
        <w:tc>
          <w:tcPr>
            <w:tcW w:w="4320" w:type="dxa"/>
            <w:noWrap w:val="false"/>
          </w:tcPr>
          <w:p>
            <w:r>
              <w:rPr>
                <w:sz w:val="20"/>
              </w:rPr>
              <w:t>Subcommittee recommends passage. []. (3/22/23)</w:t>
            </w:r>
          </w:p>
        </w:tc>
        <w:tc>
          <w:tcPr>
            <w:tcW w:w="4320" w:type="dxa"/>
            <w:noWrap w:val="false"/>
          </w:tcPr>
          <w:p>
            <w:pPr>
              <w:spacing w:before="0" w:after="0"/>
            </w:pPr>
            <w:r>
              <w:t/>
            </w:r>
          </w:p>
        </w:tc>
      </w:tr>
      <w:tr>
        <w:trPr>
          <w:cantSplit w:val="true"/>
        </w:trPr>
        <w:tc>
          <w:tcPr>
            <w:tcW w:w="2160" w:type="dxa"/>
            <w:noWrap w:val="false"/>
          </w:tcPr>
          <w:p>
            <w:hyperlink r:id="rId41">
              <w:r>
                <w:rPr>
                  <w:rStyle w:val="Hyperlink"/>
                </w:rPr>
                <w:t xml:space="preserve">SF 305</w:t>
              </w:r>
            </w:hyperlink>
          </w:p>
          <w:p>
            <w:hyperlink r:id="rId42">
              <w:r>
                <w:rPr>
                  <w:rStyle w:val="Hyperlink"/>
                </w:rPr>
                <w:t xml:space="preserve">CO:HF 361</w:t>
              </w:r>
            </w:hyperlink>
          </w:p>
        </w:tc>
        <w:tc>
          <w:tcPr>
            <w:tcW w:w="3600" w:type="dxa"/>
            <w:noWrap w:val="false"/>
          </w:tcPr>
          <w:p>
            <w:r>
              <w:rPr>
                <w:sz w:val="20"/>
              </w:rPr>
              <w:t>A bill for an act relating to the dissemination of certain specified materials, including the prohibition of certain specified materials in schools and civil actions to determine obscenity, modifying the responsibilities of the department of education, and providing civil penalties.</w:t>
            </w:r>
          </w:p>
        </w:tc>
        <w:tc>
          <w:tcPr>
            <w:tcW w:w="4320" w:type="dxa"/>
            <w:noWrap w:val="false"/>
          </w:tcPr>
          <w:p>
            <w:r>
              <w:rPr>
                <w:sz w:val="20"/>
              </w:rPr>
              <w:t>Subcommittee: Evans, Quirmbach, and Sinclair. (2/22/23)</w:t>
            </w:r>
          </w:p>
        </w:tc>
        <w:tc>
          <w:tcPr>
            <w:tcW w:w="4320" w:type="dxa"/>
            <w:noWrap w:val="false"/>
          </w:tcPr>
          <w:p>
            <w:pPr>
              <w:spacing w:before="0" w:after="0"/>
            </w:pPr>
            <w:r>
              <w:t/>
            </w:r>
          </w:p>
        </w:tc>
      </w:tr>
      <w:tr>
        <w:trPr>
          <w:cantSplit w:val="true"/>
        </w:trPr>
        <w:tc>
          <w:tcPr>
            <w:tcW w:w="2160" w:type="dxa"/>
            <w:noWrap w:val="false"/>
          </w:tcPr>
          <w:p>
            <w:hyperlink r:id="rId43">
              <w:r>
                <w:rPr>
                  <w:rStyle w:val="Hyperlink"/>
                </w:rPr>
                <w:t xml:space="preserve">SF 572</w:t>
              </w:r>
            </w:hyperlink>
          </w:p>
        </w:tc>
        <w:tc>
          <w:tcPr>
            <w:tcW w:w="3600" w:type="dxa"/>
            <w:noWrap w:val="false"/>
          </w:tcPr>
          <w:p>
            <w:r>
              <w:rPr>
                <w:sz w:val="20"/>
              </w:rPr>
              <w:t>A bill for an act relating to certain education programs and tax credits and including effective date, applicability, and retroactive applicability provisions.(Formerly SSB 1208.)</w:t>
            </w:r>
          </w:p>
        </w:tc>
        <w:tc>
          <w:tcPr>
            <w:tcW w:w="4320" w:type="dxa"/>
            <w:shd w:val="clear" w:color="auto" w:fill="FFFF66" w:themeFillTint="30"/>
            <w:noWrap w:val="false"/>
          </w:tcPr>
          <w:p>
            <w:r>
              <w:rPr>
                <w:sz w:val="20"/>
              </w:rPr>
              <w:t>Fiscal note. (4/25/23)</w:t>
            </w:r>
          </w:p>
        </w:tc>
        <w:tc>
          <w:tcPr>
            <w:tcW w:w="4320" w:type="dxa"/>
            <w:noWrap w:val="false"/>
          </w:tcPr>
          <w:p>
            <w:pPr>
              <w:spacing w:before="0" w:after="0"/>
            </w:pPr>
            <w:r>
              <w:t/>
            </w:r>
          </w:p>
        </w:tc>
      </w:tr>
    </w:tbl>
    <w:sectPr>
      <w:headerReference w:type="default" r:id="rId3"/>
      <w:footerReference w:type="default" r:id="rId4"/>
      <w:type w:val="nextPage"/>
      <w:pgSz w:w="15840" w:h="12240" w:orient="landscape"/>
      <w:pgMar w:top="1266" w:right="720" w:bottom="720" w:left="720" w:header="432" w:footer="288" w:gutter="0"/>
      <w:pgNumType w:fmt="decimal"/>
      <w:formProt w:val="false"/>
      <w:textDirection w:val="lrTb"/>
      <w:docGrid w:type="default" w:linePitch="100" w:charSpace="0"/>
    </w:sectPr>
  </w:body>
</w:document>
</file>

<file path=word/fontTable.xml><?xml version="1.0" encoding="utf-8"?>
<w:font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 w:name="Calibri">
    <w:charset w:val="01"/>
    <w:family w:val="roman"/>
    <w:pitch w:val="variable"/>
  </w:font>
  <w:font w:name="Gill Sans MT">
    <w:charset w:val="01"/>
    <w:family w:val="roman"/>
    <w:pitch w:val="variable"/>
  </w:font>
  <w:font w:name="Cambria">
    <w:charset w:val="01"/>
    <w:family w:val="roman"/>
    <w:pitch w:val="variable"/>
  </w:font>
</w:fonts>
</file>

<file path=word/footer1.xml><?xml version="1.0" encoding="utf-8"?>
<w:ftr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p>
    <w:pPr>
      <w:pStyle w:val="Footer"/>
      <w:spacing w:before="0" w:after="120"/>
      <w:jc w:val="center"/>
      <w:rPr/>
    </w:pPr>
    <w:r>
      <w:rPr>
        <w:rFonts w:ascii="Cambria" w:hAnsi="Cambria"/>
        <w:lang w:val="en-US"/>
      </w:rPr>
      <w:t xml:space="preserve">PAGE </w:t>
    </w:r>
    <w:r>
      <w:rPr/>
      <w:fldChar w:fldCharType="begin"/>
    </w:r>
    <w:r>
      <w:rPr/>
      <w:instrText> PAGE </w:instrText>
    </w:r>
    <w:r>
      <w:rPr/>
      <w:fldChar w:fldCharType="separate"/>
    </w:r>
    <w:r>
      <w:rPr/>
      <w:t>1</w:t>
    </w:r>
    <w:r>
      <w:rPr/>
      <w:fldChar w:fldCharType="end"/>
    </w:r>
    <w:r>
      <w:rPr>
        <w:rFonts w:ascii="Cambria" w:hAnsi="Cambria"/>
        <w:sz w:val="18"/>
        <w:szCs w:val="18"/>
        <w:lang w:val="en-US"/>
      </w:rPr>
      <w:t xml:space="preserve"> - </w:t>
    </w:r>
    <w:r>
      <w:rPr/>
      <w:fldChar w:fldCharType="begin"/>
    </w:r>
    <w:r>
      <w:rPr/>
      <w:instrText> DATE \@"M\/d\/yy" </w:instrText>
    </w:r>
    <w:r>
      <w:rPr/>
      <w:fldChar w:fldCharType="separate"/>
    </w:r>
    <w:r>
      <w:rPr/>
      <w:t>12/12/22</w:t>
    </w:r>
    <w:r>
      <w:rPr/>
      <w:fldChar w:fldCharType="end"/>
    </w:r>
  </w:p>
</w:ftr>
</file>

<file path=word/header1.xml><?xml version="1.0" encoding="utf-8"?>
<w:hdr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p>
    <w:pPr>
      <w:pStyle w:val="Body"/>
      <w:spacing w:before="0" w:after="0" w:line="240" w:lineRule="auto"/>
      <w:jc w:val="center"/>
      <w:rPr/>
    </w:pPr>
    <w:r>
      <w:rPr>
        <w:rFonts w:ascii="Gill Sans MT" w:hAnsi="Gill Sans MT" w:eastAsia="Gill Sans MT" w:cs="Gill Sans MT"/>
        <w:outline w:val="false"/>
        <w:color w:val="1B255B"/>
        <w:sz w:val="48"/>
        <w:szCs w:val="48"/>
        <w:u w:val="none" w:color="1B255B"/>
        <w:lang w:val="de-DE"/>
      </w:rPr>
      <w:t>Stride 2023 Bill Tracker</w:t>
    </w:r>
  </w:p>
</w:hdr>
</file>

<file path=word/settings.xml><?xml version="1.0" encoding="utf-8"?>
<w:setting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zoom w:percent="5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imes New Roman" w:hAnsi="Times New Roman" w:eastAsia="Arial Unicode MS" w:cs="Times New Roman"/>
        <w:lang w:val="en-US" w:eastAsia="zh-CN" w:bidi="hi-IN"/>
      </w:rPr>
    </w:rPrDefault>
    <w:pPrDefault>
      <w:pPr>
        <w:suppressAutoHyphens w:val="true"/>
      </w:pPr>
    </w:pPrDefault>
  </w:docDefaults>
  <w:style w:type="paragraph" w:styleId="Normal" w:default="true">
    <w:name w:val="Normal"/>
    <w:qFormat/>
    <w:pPr>
      <w:keepNext w:val="false"/>
      <w:keepLines w:val="false"/>
      <w:pageBreakBefore w:val="false"/>
      <w:widowControl/>
      <w:shd w:val="clear" w:color="auto" w:fill="auto"/>
      <w:suppressAutoHyphens w:val="false"/>
      <w:bidi w:val="false"/>
      <w:spacing w:before="0" w:beforeAutospacing="false" w:after="0" w:afterAutospacing="false" w:line="240" w:lineRule="auto"/>
      <w:ind w:left="0" w:right="0" w:hanging="0"/>
      <w:jc w:val="left"/>
    </w:pPr>
    <w:rPr>
      <w:rFonts w:ascii="Gill Sans MT" w:hAnsi="Times New Roman" w:eastAsia="Arial Unicode MS" w:cs="Times New Roman"/>
      <w:b w:val="false"/>
      <w:bCs w:val="false"/>
      <w:i w:val="false"/>
      <w:iCs w:val="false"/>
      <w:caps w:val="false"/>
      <w:smallCaps w:val="false"/>
      <w:strike w:val="false"/>
      <w:dstrike w:val="false"/>
      <w:outline w:val="false"/>
      <w:emboss w:val="false"/>
      <w:imprint w:val="false"/>
      <w:vanish w:val="false"/>
      <w:color w:val="auto"/>
      <w:spacing w:val="0"/>
      <w:w w:val="100"/>
      <w:kern w:val="0"/>
      <w:position w:val="0"/>
      <w:sz w:val="24"/>
      <w:szCs w:val="24"/>
      <w:u w:val="none" w:color="FFFFFF"/>
      <w:vertAlign w:val="baseline"/>
      <w:lang w:val="en-US" w:eastAsia="en-US" w:bidi="ar-SA"/>
    </w:rPr>
  </w:style>
  <w:style w:type="character" w:styleId="DefaultParagraphFont" w:default="true">
    <w:name w:val="Default Paragraph Font"/>
    <w:qFormat/>
    <w:rPr/>
  </w:style>
  <w:style w:type="character" w:styleId="InternetLink">
    <w:name w:val="Hyperlink"/>
    <w:rPr>
      <w:rFonts w:ascii="Gill Sans MT"/>
      <w:b w:val="true"/>
      <w:color w:val="000000"/>
      <w:sz w:val="22"/>
      <w:u w:val="single" w:color="000000"/>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before="0" w:after="140" w:line="276" w:lineRule="auto"/>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lang w:val="zxx" w:eastAsia="zxx" w:bidi="zxx"/>
    </w:rPr>
  </w:style>
  <w:style w:type="paragraph" w:styleId="Body">
    <w:name w:val="Body"/>
    <w:qFormat/>
    <w:pPr>
      <w:keepNext w:val="false"/>
      <w:keepLines w:val="false"/>
      <w:pageBreakBefore w:val="false"/>
      <w:widowControl/>
      <w:shd w:val="clear" w:color="auto" w:fill="auto"/>
      <w:suppressAutoHyphens w:val="true"/>
      <w:bidi w:val="false"/>
      <w:spacing w:before="0" w:beforeAutospacing="false" w:after="120" w:afterAutospacing="false" w:line="276" w:lineRule="auto"/>
      <w:ind w:left="0" w:right="0" w:hanging="0"/>
      <w:jc w:val="left"/>
    </w:pPr>
    <w:rPr>
      <w:rFonts w:ascii="Calibri" w:hAnsi="Calibri" w:eastAsia="Arial Unicode MS" w:cs="Arial Unicode MS"/>
      <w:b w:val="false"/>
      <w:bCs w:val="false"/>
      <w:i w:val="false"/>
      <w:iCs w:val="false"/>
      <w:caps w:val="false"/>
      <w:smallCaps w:val="false"/>
      <w:strike w:val="false"/>
      <w:dstrike w:val="false"/>
      <w:outline w:val="false"/>
      <w:emboss w:val="false"/>
      <w:imprint w:val="false"/>
      <w:vanish w:val="false"/>
      <w:color w:val="00000A"/>
      <w:spacing w:val="0"/>
      <w:w w:val="100"/>
      <w:kern w:val="0"/>
      <w:position w:val="0"/>
      <w:sz w:val="22"/>
      <w:szCs w:val="22"/>
      <w:u w:val="none" w:color="00000A"/>
      <w:shd w:val="clear" w:fill="auto"/>
      <w:vertAlign w:val="baseline"/>
      <w:lang w:val="de-DE" w:eastAsia="zh-CN" w:bidi="hi-IN"/>
    </w:rPr>
  </w:style>
  <w:style w:type="paragraph" w:styleId="HeaderandFooter">
    <w:name w:val="Header and Footer"/>
    <w:basedOn w:val="Normal"/>
    <w:qFormat/>
    <w:pPr/>
    <w:rPr/>
  </w:style>
  <w:style w:type="paragraph" w:styleId="Footer">
    <w:name w:val="Footer"/>
    <w:pPr>
      <w:keepNext w:val="false"/>
      <w:keepLines w:val="false"/>
      <w:pageBreakBefore w:val="false"/>
      <w:widowControl/>
      <w:shd w:val="clear" w:color="auto" w:fill="auto"/>
      <w:tabs>
        <w:tab w:val="clear" w:pos="720"/>
        <w:tab w:val="center" w:leader="none" w:pos="4680"/>
        <w:tab w:val="right" w:leader="none" w:pos="9360"/>
      </w:tabs>
      <w:suppressAutoHyphens w:val="true"/>
      <w:bidi w:val="false"/>
      <w:spacing w:before="0" w:beforeAutospacing="false" w:after="0" w:afterAutospacing="false" w:line="240" w:lineRule="auto"/>
      <w:ind w:left="0" w:right="0" w:hanging="0"/>
      <w:jc w:val="left"/>
    </w:pPr>
    <w:rPr>
      <w:rFonts w:ascii="Calibri" w:hAnsi="Calibri" w:eastAsia="Arial Unicode MS" w:cs="Arial Unicode MS"/>
      <w:b w:val="false"/>
      <w:bCs w:val="false"/>
      <w:i w:val="false"/>
      <w:iCs w:val="false"/>
      <w:caps w:val="false"/>
      <w:smallCaps w:val="false"/>
      <w:strike w:val="false"/>
      <w:dstrike w:val="false"/>
      <w:outline w:val="false"/>
      <w:emboss w:val="false"/>
      <w:imprint w:val="false"/>
      <w:vanish w:val="false"/>
      <w:color w:val="00000A"/>
      <w:spacing w:val="0"/>
      <w:w w:val="100"/>
      <w:kern w:val="0"/>
      <w:position w:val="0"/>
      <w:sz w:val="22"/>
      <w:szCs w:val="22"/>
      <w:u w:val="none" w:color="00000A"/>
      <w:shd w:val="clear" w:fill="auto"/>
      <w:vertAlign w:val="baseline"/>
      <w:lang w:val="en-US" w:eastAsia="zh-CN" w:bidi="hi-IN"/>
    </w:rPr>
  </w:style>
  <w:style w:type="paragraph" w:styleId="Header">
    <w:name w:val="Header"/>
    <w:basedOn w:val="HeaderandFooter"/>
    <w:pPr/>
    <w:rPr/>
  </w:style>
  <w:style w:type="numbering" w:styleId="NoList" w:default="true">
    <w:name w:val="No List"/>
    <w:qFormat/>
  </w:style>
  <w:style w:type="table" w:styleId="Table Normal" w:default="true">
    <w:name w:val="Table Normal"/>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Relationship Target="media/image1.jpeg" Type="http://schemas.openxmlformats.org/officeDocument/2006/relationships/image" Id="rId2"></Relationship><Relationship Target="header1.xml" Type="http://schemas.openxmlformats.org/officeDocument/2006/relationships/header" Id="rId3"></Relationship><Relationship Target="footer1.xml" Type="http://schemas.openxmlformats.org/officeDocument/2006/relationships/footer" Id="rId4"></Relationship><Relationship Target="fontTable.xml" Type="http://schemas.openxmlformats.org/officeDocument/2006/relationships/fontTable" Id="rId5"></Relationship><Relationship Target="settings.xml" Type="http://schemas.openxmlformats.org/officeDocument/2006/relationships/settings" Id="rId6"></Relationship><Relationship Target="theme/theme1.xml" Type="http://schemas.openxmlformats.org/officeDocument/2006/relationships/theme" Id="rId7"></Relationship><Relationship TargetMode="External" Target="https://www.legis.iowa.gov/legislation/BillBook?ga=90&amp;ba=HF68" Type="http://schemas.openxmlformats.org/officeDocument/2006/relationships/hyperlink" Id="rId8"/><Relationship TargetMode="External" Target="https://www.legis.iowa.gov/legislation/BillBook?ga=90&amp;ba=SF94" Type="http://schemas.openxmlformats.org/officeDocument/2006/relationships/hyperlink" Id="rId9"/><Relationship TargetMode="External" Target="https://www.legis.iowa.gov/legislation/BillBook?ga=90&amp;ba=SF391" Type="http://schemas.openxmlformats.org/officeDocument/2006/relationships/hyperlink" Id="rId10"/><Relationship TargetMode="External" Target="https://www.legis.iowa.gov/legislation/BillBook?ga=90&amp;ba=HF68" Type="http://schemas.openxmlformats.org/officeDocument/2006/relationships/hyperlink" Id="rId11"/><Relationship TargetMode="External" Target="https://www.legis.iowa.gov/legislation/BillBook?ga=90&amp;ba=SF94" Type="http://schemas.openxmlformats.org/officeDocument/2006/relationships/hyperlink" Id="rId12"/><Relationship TargetMode="External" Target="https://www.legis.iowa.gov/legislation/BillBook?ga=90&amp;ba=SF192" Type="http://schemas.openxmlformats.org/officeDocument/2006/relationships/hyperlink" Id="rId13"/><Relationship TargetMode="External" Target="https://www.legis.iowa.gov/legislation/BillBook?ga=90&amp;ba=HF171" Type="http://schemas.openxmlformats.org/officeDocument/2006/relationships/hyperlink" Id="rId14"/><Relationship TargetMode="External" Target="https://www.legis.iowa.gov/legislation/BillBook?ga=90&amp;ba=HF604" Type="http://schemas.openxmlformats.org/officeDocument/2006/relationships/hyperlink" Id="rId15"/><Relationship TargetMode="External" Target="https://www.legis.iowa.gov/legislation/BillBook?ga=90&amp;ba=SF391" Type="http://schemas.openxmlformats.org/officeDocument/2006/relationships/hyperlink" Id="rId16"/><Relationship TargetMode="External" Target="https://www.legis.iowa.gov/legislation/BillBook?ga=90&amp;ba=SF496" Type="http://schemas.openxmlformats.org/officeDocument/2006/relationships/hyperlink" Id="rId17"/><Relationship TargetMode="External" Target="https://www.legis.iowa.gov/legislation/BillBook?ga=90&amp;ba=HF253" Type="http://schemas.openxmlformats.org/officeDocument/2006/relationships/hyperlink" Id="rId18"/><Relationship TargetMode="External" Target="https://www.legis.iowa.gov/legislation/BillBook?ga=90&amp;ba=HF39" Type="http://schemas.openxmlformats.org/officeDocument/2006/relationships/hyperlink" Id="rId19"/><Relationship TargetMode="External" Target="https://www.legis.iowa.gov/legislation/BillBook?ga=90&amp;ba=HF429" Type="http://schemas.openxmlformats.org/officeDocument/2006/relationships/hyperlink" Id="rId20"/><Relationship TargetMode="External" Target="https://www.legis.iowa.gov/legislation/BillBook?ga=90&amp;ba=HF430" Type="http://schemas.openxmlformats.org/officeDocument/2006/relationships/hyperlink" Id="rId21"/><Relationship TargetMode="External" Target="https://www.legis.iowa.gov/legislation/BillBook?ga=90&amp;ba=HF672" Type="http://schemas.openxmlformats.org/officeDocument/2006/relationships/hyperlink" Id="rId22"/><Relationship TargetMode="External" Target="https://www.legis.iowa.gov/legislation/BillBook?ga=90&amp;ba=HF224" Type="http://schemas.openxmlformats.org/officeDocument/2006/relationships/hyperlink" Id="rId23"/><Relationship TargetMode="External" Target="https://www.legis.iowa.gov/legislation/BillBook?ga=90&amp;ba=HF5" Type="http://schemas.openxmlformats.org/officeDocument/2006/relationships/hyperlink" Id="rId24"/><Relationship TargetMode="External" Target="https://www.legis.iowa.gov/legislation/BillBook?ga=90&amp;ba=HF95" Type="http://schemas.openxmlformats.org/officeDocument/2006/relationships/hyperlink" Id="rId25"/><Relationship TargetMode="External" Target="https://www.legis.iowa.gov/legislation/BillBook?ga=90&amp;ba=HF132" Type="http://schemas.openxmlformats.org/officeDocument/2006/relationships/hyperlink" Id="rId26"/><Relationship TargetMode="External" Target="https://www.legis.iowa.gov/legislation/BillBook?ga=90&amp;ba=HF12" Type="http://schemas.openxmlformats.org/officeDocument/2006/relationships/hyperlink" Id="rId27"/><Relationship TargetMode="External" Target="https://www.legis.iowa.gov/legislation/BillBook?ga=90&amp;ba=HF180" Type="http://schemas.openxmlformats.org/officeDocument/2006/relationships/hyperlink" Id="rId28"/><Relationship TargetMode="External" Target="https://www.legis.iowa.gov/legislation/BillBook?ga=90&amp;ba=HF9" Type="http://schemas.openxmlformats.org/officeDocument/2006/relationships/hyperlink" Id="rId29"/><Relationship TargetMode="External" Target="https://www.legis.iowa.gov/legislation/BillBook?ga=90&amp;ba=HF233" Type="http://schemas.openxmlformats.org/officeDocument/2006/relationships/hyperlink" Id="rId30"/><Relationship TargetMode="External" Target="https://www.legis.iowa.gov/legislation/BillBook?ga=90&amp;ba=HF361" Type="http://schemas.openxmlformats.org/officeDocument/2006/relationships/hyperlink" Id="rId31"/><Relationship TargetMode="External" Target="https://www.legis.iowa.gov/legislation/BillBook?ga=90&amp;ba=SF305" Type="http://schemas.openxmlformats.org/officeDocument/2006/relationships/hyperlink" Id="rId32"/><Relationship TargetMode="External" Target="https://www.legis.iowa.gov/legislation/BillBook?ga=90&amp;ba=HF606" Type="http://schemas.openxmlformats.org/officeDocument/2006/relationships/hyperlink" Id="rId33"/><Relationship TargetMode="External" Target="https://www.legis.iowa.gov/legislation/BillBook?ga=90&amp;ba=HF620" Type="http://schemas.openxmlformats.org/officeDocument/2006/relationships/hyperlink" Id="rId34"/><Relationship TargetMode="External" Target="https://www.legis.iowa.gov/legislation/BillBook?ga=90&amp;ba=HSB112" Type="http://schemas.openxmlformats.org/officeDocument/2006/relationships/hyperlink" Id="rId35"/><Relationship TargetMode="External" Target="https://www.legis.iowa.gov/legislation/BillBook?ga=90&amp;ba=HSB138" Type="http://schemas.openxmlformats.org/officeDocument/2006/relationships/hyperlink" Id="rId36"/><Relationship TargetMode="External" Target="https://www.legis.iowa.gov/legislation/BillBook?ga=90&amp;ba=SF81" Type="http://schemas.openxmlformats.org/officeDocument/2006/relationships/hyperlink" Id="rId37"/><Relationship TargetMode="External" Target="https://www.legis.iowa.gov/legislation/BillBook?ga=90&amp;ba=SF83" Type="http://schemas.openxmlformats.org/officeDocument/2006/relationships/hyperlink" Id="rId38"/><Relationship TargetMode="External" Target="https://www.legis.iowa.gov/legislation/BillBook?ga=90&amp;ba=SF247" Type="http://schemas.openxmlformats.org/officeDocument/2006/relationships/hyperlink" Id="rId39"/><Relationship TargetMode="External" Target="https://www.legis.iowa.gov/legislation/BillBook?ga=90&amp;ba=SF9" Type="http://schemas.openxmlformats.org/officeDocument/2006/relationships/hyperlink" Id="rId40"/><Relationship TargetMode="External" Target="https://www.legis.iowa.gov/legislation/BillBook?ga=90&amp;ba=SF305" Type="http://schemas.openxmlformats.org/officeDocument/2006/relationships/hyperlink" Id="rId41"/><Relationship TargetMode="External" Target="https://www.legis.iowa.gov/legislation/BillBook?ga=90&amp;ba=HF361" Type="http://schemas.openxmlformats.org/officeDocument/2006/relationships/hyperlink" Id="rId42"/><Relationship TargetMode="External" Target="https://www.legis.iowa.gov/legislation/BillBook?ga=90&amp;ba=SF572" Type="http://schemas.openxmlformats.org/officeDocument/2006/relationships/hyperlink" Id="rId43"/></Relationships>
</file>

<file path=word/theme/theme1.xml><?xml version="1.0" encoding="utf-8"?>
<a:theme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tint val="100000"/>
                <a:shade val="100000"/>
                <a:satMod val="129999"/>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sx="100000" sy="100000" kx="0" ky="0" algn="b" rotWithShape="false">
              <a:srgbClr val="000000">
                <a:alpha val="35000"/>
              </a:srgbClr>
            </a:outerShdw>
          </a:effectLst>
        </a:effectStyle>
        <a:effectStyle>
          <a:effectLst>
            <a:outerShdw blurRad="38100" dist="23000" dir="5400000" sx="100000" sy="100000" kx="0" ky="0" algn="b" rotWithShape="false">
              <a:srgbClr val="000000">
                <a:alpha val="35000"/>
              </a:srgbClr>
            </a:outerShdw>
          </a:effectLst>
        </a:effectStyle>
        <a:effectStyle>
          <a:effectLst>
            <a:outerShdw blurRad="38100" dist="20000" dir="5400000" sx="100000" sy="100000" kx="0" ky="0" algn="b" rotWithShape="false">
              <a:srgbClr val="000000">
                <a:alpha val="38000"/>
              </a:srgbClr>
            </a:outerShdw>
          </a:effectLst>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sx="100000" sy="100000" kx="0" ky="0" algn="b" rotWithShape="false">
            <a:srgbClr val="000000">
              <a:alpha val="35000"/>
            </a:srgbClr>
          </a:outerShdw>
        </a:effectLst>
        <a:sp3d/>
      </a:spPr>
      <a:bodyPr rot="0" spcFirstLastPara="true" vertOverflow="overflow" horzOverflow="overflow" vert="horz" wrap="square" lIns="45719" tIns="45719" rIns="45719" bIns="45719" numCol="1" spcCol="38100" rtlCol="false" anchor="ctr" upright="false">
        <a:spAutoFit/>
      </a:bodyPr>
      <a:lstStyle>
        <a:defPPr marL="0" marR="0" indent="0" algn="l" defTabSz="914400" rtl="false" fontAlgn="auto" latinLnBrk="fals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latin typeface="Calibri"/>
            <a:ea typeface="Calibri"/>
            <a:cs typeface="Calibri"/>
            <a:sym typeface="Calibri"/>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blurRad="38100" dist="20000" dir="5400000" sx="100000" sy="100000" kx="0" ky="0" algn="b" rotWithShape="false">
            <a:srgbClr val="000000">
              <a:alpha val="38000"/>
            </a:srgbClr>
          </a:outerShdw>
        </a:effectLst>
        <a:sp3d/>
      </a:spPr>
      <a:bodyPr rot="0" spcFirstLastPara="true" vertOverflow="overflow" horzOverflow="overflow" vert="horz" wrap="square" lIns="91439" tIns="45719" rIns="91439" bIns="45719" numCol="1" spcCol="38100" rtlCol="false" anchor="t" upright="false">
        <a:noAutofit/>
      </a:bodyPr>
      <a:lstStyle>
        <a:def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true" vertOverflow="overflow" horzOverflow="overflow" vert="horz" wrap="square" lIns="45719" tIns="45719" rIns="45719" bIns="45719" numCol="1" spcCol="38100" rtlCol="false" anchor="t" upright="false">
        <a:spAutoFit/>
      </a:bodyPr>
      <a:lstStyle>
        <a:defPPr marL="0" marR="0" indent="0" algn="l" defTabSz="914400" rtl="false" fontAlgn="auto" latinLnBrk="fals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latin typeface="Calibri"/>
            <a:ea typeface="Calibri"/>
            <a:cs typeface="Calibri"/>
            <a:sym typeface="Calibri"/>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fillRef idx="0"/>
        <a:effectRef idx="0"/>
        <a:fontRef idx="none"/>
      </a:style>
    </a:txDef>
  </a:objectDefaults>
</a:theme>
</file>

<file path=docProps/app.xml><?xml version="1.0" encoding="utf-8"?>
<properties:Properties xmlns:vt="http://schemas.openxmlformats.org/officeDocument/2006/docPropsVTypes" xmlns:properties="http://schemas.openxmlformats.org/officeDocument/2006/extended-properties">
  <properties:Template/>
  <properties:Pages>1</properties:Pages>
  <properties:Words>5</properties:Words>
  <properties:Characters>20</properties:Characters>
  <properties:Paragraphs>2</properties:Paragraphs>
  <properties:TotalTime>1343</properties:TotalTime>
  <properties:CharactersWithSpaces>23</properties:CharactersWithSpac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
  <dc:description/>
  <dc:language>en-US</dc:language>
  <cp:lastModifiedBy>docx4j</cp:lastModifiedBy>
  <dcterms:modified xmlns:xsi="http://www.w3.org/2001/XMLSchema-instance" xsi:type="dcterms:W3CDTF">2022-12-12T13:28:23Z</dcterms:modified>
  <cp:revision>6</cp:revision>
  <dc:subject/>
  <dc:title/>
</cp:coreProperties>
</file>

<file path=docProps/custom.xml><?xml version="1.0" encoding="utf-8"?>
<prop:Properties xmlns:vt="http://schemas.openxmlformats.org/officeDocument/2006/docPropsVTypes" xmlns:prop="http://schemas.openxmlformats.org/officeDocument/2006/custom-properties"/>
</file>