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702</w:t>
              </w:r>
            </w:hyperlink>
          </w:p>
        </w:tc>
        <w:tc>
          <w:tcPr>
            <w:tcW w:w="3600" w:type="dxa"/>
            <w:noWrap w:val="false"/>
          </w:tcPr>
          <w:p>
            <w:r>
              <w:rPr>
                <w:sz w:val="20"/>
              </w:rPr>
              <w:t>A bill for an act relating to the sale and regulation of consumer fireworks.(Formerly HF 44.)</w:t>
            </w:r>
          </w:p>
        </w:tc>
        <w:tc>
          <w:tcPr>
            <w:tcW w:w="4320" w:type="dxa"/>
            <w:noWrap w:val="false"/>
          </w:tcPr>
          <w:p>
            <w:r>
              <w:rPr>
                <w:sz w:val="20"/>
              </w:rPr>
              <w:t>Amendment H-1073 filed. (3/12/25)</w:t>
            </w:r>
          </w:p>
        </w:tc>
        <w:tc>
          <w:tcPr>
            <w:tcW w:w="4320" w:type="dxa"/>
            <w:noWrap w:val="false"/>
          </w:tcPr>
          <w:p>
            <w:pPr>
              <w:spacing w:before="0" w:after="0"/>
            </w:pPr>
            <w:r>
              <w:t/>
            </w:r>
          </w:p>
        </w:tc>
      </w:tr>
      <w:tr>
        <w:trPr>
          <w:cantSplit w:val="true"/>
        </w:trPr>
        <w:tc>
          <w:tcPr>
            <w:tcW w:w="2160" w:type="dxa"/>
            <w:noWrap w:val="false"/>
          </w:tcPr>
          <w:p>
            <w:hyperlink r:id="rId8">
              <w:r>
                <w:rPr>
                  <w:rStyle w:val="Hyperlink"/>
                  <w:color w:val="0000FF"/>
                </w:rPr>
                <w:t xml:space="preserve">SF 303</w:t>
              </w:r>
            </w:hyperlink>
          </w:p>
        </w:tc>
        <w:tc>
          <w:tcPr>
            <w:tcW w:w="3600" w:type="dxa"/>
            <w:noWrap w:val="false"/>
          </w:tcPr>
          <w:p>
            <w:r>
              <w:rPr>
                <w:sz w:val="20"/>
              </w:rPr>
              <w:t>A bill for an act relating to county and city regulation of consumer fireworks.(Formerly SSB 1104.)</w:t>
            </w:r>
          </w:p>
        </w:tc>
        <w:tc>
          <w:tcPr>
            <w:tcW w:w="4320" w:type="dxa"/>
            <w:noWrap w:val="false"/>
          </w:tcPr>
          <w:p>
            <w:r>
              <w:rPr>
                <w:sz w:val="20"/>
              </w:rPr>
              <w:t>Deferred. (3/11/25)</w:t>
            </w:r>
          </w:p>
        </w:tc>
        <w:tc>
          <w:tcPr>
            <w:tcW w:w="4320" w:type="dxa"/>
            <w:noWrap w:val="false"/>
          </w:tcPr>
          <w:p>
            <w:pPr>
              <w:spacing w:before="0" w:after="0"/>
            </w:pPr>
            <w:r>
              <w:t/>
            </w:r>
          </w:p>
        </w:tc>
      </w:tr>
      <w:tr>
        <w:trPr>
          <w:cantSplit w:val="true"/>
        </w:trPr>
        <w:tc>
          <w:tcPr>
            <w:tcW w:w="2160" w:type="dxa"/>
            <w:noWrap w:val="false"/>
          </w:tcPr>
          <w:p>
            <w:hyperlink r:id="rId9">
              <w:r>
                <w:rPr>
                  <w:rStyle w:val="Hyperlink"/>
                  <w:color w:val="0000FF"/>
                </w:rPr>
                <w:t xml:space="preserve">SF 383</w:t>
              </w:r>
            </w:hyperlink>
          </w:p>
          <w:p>
            <w:hyperlink r:id="rId10">
              <w:r>
                <w:rPr>
                  <w:rStyle w:val="Hyperlink"/>
                  <w:color w:val="0000FF"/>
                </w:rPr>
                <w:t xml:space="preserve">CO:HSB 99</w:t>
              </w:r>
            </w:hyperlink>
          </w:p>
        </w:tc>
        <w:tc>
          <w:tcPr>
            <w:tcW w:w="3600" w:type="dxa"/>
            <w:noWrap w:val="false"/>
          </w:tcPr>
          <w:p>
            <w:r>
              <w:rPr>
                <w:sz w:val="20"/>
              </w:rPr>
              <w:t>A bill for an act relating to pharmacy benefits managers, pharmacies, and prescription drugs and including applicability provisions.(Formerly SSB 1074.)</w:t>
            </w:r>
          </w:p>
        </w:tc>
        <w:tc>
          <w:tcPr>
            <w:tcW w:w="4320" w:type="dxa"/>
            <w:noWrap w:val="false"/>
          </w:tcPr>
          <w:p>
            <w:r>
              <w:rPr>
                <w:sz w:val="20"/>
              </w:rPr>
              <w:t>Committee report, approving bill. (2/19/25)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1">
              <w:r>
                <w:rPr>
                  <w:rStyle w:val="Hyperlink"/>
                  <w:color w:val="0000FF"/>
                </w:rPr>
                <w:t xml:space="preserve">HF 656</w:t>
              </w:r>
            </w:hyperlink>
          </w:p>
        </w:tc>
        <w:tc>
          <w:tcPr>
            <w:tcW w:w="3600" w:type="dxa"/>
            <w:noWrap w:val="false"/>
          </w:tcPr>
          <w:p>
            <w:r>
              <w:rPr>
                <w:sz w:val="20"/>
              </w:rPr>
              <w:t>A bill for an act relating to vision benefit plans, the regulation of insurers and vision benefit managers, vision care providers, and vision care provider contracts and including effective date and applicability provisions.</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
            </w:r>
          </w:p>
        </w:tc>
      </w:tr>
      <w:tr>
        <w:trPr>
          <w:cantSplit w:val="true"/>
        </w:trPr>
        <w:tc>
          <w:tcPr>
            <w:tcW w:w="2160" w:type="dxa"/>
            <w:noWrap w:val="false"/>
          </w:tcPr>
          <w:p>
            <w:hyperlink r:id="rId12">
              <w:r>
                <w:rPr>
                  <w:rStyle w:val="Hyperlink"/>
                  <w:color w:val="0000FF"/>
                </w:rPr>
                <w:t xml:space="preserve">HSB 10</w:t>
              </w:r>
            </w:hyperlink>
          </w:p>
        </w:tc>
        <w:tc>
          <w:tcPr>
            <w:tcW w:w="3600" w:type="dxa"/>
            <w:noWrap w:val="false"/>
          </w:tcPr>
          <w:p>
            <w:r>
              <w:rPr>
                <w:sz w:val="20"/>
              </w:rPr>
              <w:t>A bill for an act relating to persons who may provide health services to students enrolled in a school district.</w:t>
            </w:r>
          </w:p>
        </w:tc>
        <w:tc>
          <w:tcPr>
            <w:tcW w:w="4320" w:type="dxa"/>
            <w:shd w:val="clear" w:color="auto" w:fill="FF8080" w:themeFillTint="30"/>
            <w:noWrap w:val="false"/>
          </w:tcPr>
          <w:p>
            <w:r>
              <w:rPr>
                <w:sz w:val="20"/>
              </w:rPr>
              <w:t>Subcommittee recommends passage. (1/22/25)</w:t>
            </w:r>
          </w:p>
        </w:tc>
        <w:tc>
          <w:tcPr>
            <w:tcW w:w="4320" w:type="dxa"/>
            <w:noWrap w:val="false"/>
          </w:tcPr>
          <w:p>
            <w:pPr>
              <w:spacing w:before="0" w:after="0"/>
            </w:pPr>
            <w:r>
              <w:t/>
            </w:r>
          </w:p>
        </w:tc>
      </w:tr>
      <w:tr>
        <w:trPr>
          <w:cantSplit w:val="true"/>
        </w:trPr>
        <w:tc>
          <w:tcPr>
            <w:tcW w:w="2160" w:type="dxa"/>
            <w:noWrap w:val="false"/>
          </w:tcPr>
          <w:p>
            <w:hyperlink r:id="rId13">
              <w:r>
                <w:rPr>
                  <w:rStyle w:val="Hyperlink"/>
                  <w:color w:val="0000FF"/>
                </w:rPr>
                <w:t xml:space="preserve">SF 202</w:t>
              </w:r>
            </w:hyperlink>
          </w:p>
        </w:tc>
        <w:tc>
          <w:tcPr>
            <w:tcW w:w="3600" w:type="dxa"/>
            <w:noWrap w:val="false"/>
          </w:tcPr>
          <w:p>
            <w:r>
              <w:rPr>
                <w:sz w:val="20"/>
              </w:rPr>
              <w:t>A bill for an act relating to ensuring the provision of accessible prescription-related measures for persons who are blind, have a visual impairment, or otherwise have print disabilities.</w:t>
            </w:r>
          </w:p>
        </w:tc>
        <w:tc>
          <w:tcPr>
            <w:tcW w:w="4320" w:type="dxa"/>
            <w:shd w:val="clear" w:color="auto" w:fill="FF8080" w:themeFillTint="30"/>
            <w:noWrap w:val="false"/>
          </w:tcPr>
          <w:p>
            <w:r>
              <w:rPr>
                <w:sz w:val="20"/>
              </w:rPr>
              <w:t>Subcommittee: Klimesh, Costello, and Petersen. (2/11/25)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Prevent Blindness Iowa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702" Type="http://schemas.openxmlformats.org/officeDocument/2006/relationships/hyperlink" Id="rId7"/><Relationship TargetMode="External" Target="https://www.legis.iowa.gov/legislation/BillBook?ga=91&amp;ba=SF303" Type="http://schemas.openxmlformats.org/officeDocument/2006/relationships/hyperlink" Id="rId8"/><Relationship TargetMode="External" Target="https://www.legis.iowa.gov/legislation/BillBook?ga=91&amp;ba=SF383" Type="http://schemas.openxmlformats.org/officeDocument/2006/relationships/hyperlink" Id="rId9"/><Relationship TargetMode="External" Target="https://www.legis.iowa.gov/legislation/BillBook?ga=91&amp;ba=HSB99" Type="http://schemas.openxmlformats.org/officeDocument/2006/relationships/hyperlink" Id="rId10"/><Relationship TargetMode="External" Target="https://www.legis.iowa.gov/legislation/BillBook?ga=91&amp;ba=HF656" Type="http://schemas.openxmlformats.org/officeDocument/2006/relationships/hyperlink" Id="rId11"/><Relationship TargetMode="External" Target="https://www.legis.iowa.gov/legislation/BillBook?ga=91&amp;ba=HSB10" Type="http://schemas.openxmlformats.org/officeDocument/2006/relationships/hyperlink" Id="rId12"/><Relationship TargetMode="External" Target="https://www.legis.iowa.gov/legislation/BillBook?ga=91&amp;ba=SF202" Type="http://schemas.openxmlformats.org/officeDocument/2006/relationships/hyperlink" Id="rId13"/></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