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jc w:val="left"/>
        <w:rPr/>
      </w:pPr>
      <w:r>
        <w:rPr/>
        <w:drawing>
          <wp:anchor distT="0" distB="0" distL="0" distR="0" simplePos="false" relativeHeight="2" behindDoc="false" locked="false" layoutInCell="false" allowOverlap="true">
            <wp:simplePos x="0" y="0"/>
            <wp:positionH relativeFrom="column">
              <wp:posOffset>53340</wp:posOffset>
            </wp:positionH>
            <wp:positionV relativeFrom="paragraph">
              <wp:posOffset>-775335</wp:posOffset>
            </wp:positionV>
            <wp:extent cx="2038350" cy="743585"/>
            <wp:effectExtent l="0" t="0" r="0" b="0"/>
            <wp:wrapSquare wrapText="larges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2"/>
                    <a:stretch>
                      <a:fillRect/>
                    </a:stretch>
                  </pic:blipFill>
                  <pic:spPr bwMode="auto">
                    <a:xfrm>
                      <a:off x="0" y="0"/>
                      <a:ext cx="2038350" cy="743585"/>
                    </a:xfrm>
                    <a:prstGeom prst="rect">
                      <a:avLst/>
                    </a:prstGeom>
                  </pic:spPr>
                </pic:pic>
              </a:graphicData>
            </a:graphic>
          </wp:anchor>
        </w:drawing>
      </w:r>
    </w:p>
    <w:p>
      <w:r>
        <w:rPr>
          <w:sz w:val="24"/>
        </w:rPr>
        <w:t/>
      </w:r>
    </w:p>
    <w:p>
      <w:pPr>
        <w:spacing w:before="0" w:after="0"/>
      </w:pPr>
      <w:r>
        <w:rPr>
          <w:b w:val="true"/>
          <w:sz w:val="48"/>
          <w:u w:val="single"/>
        </w:rPr>
        <w:t>Priority Legislation</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8">
              <w:r>
                <w:rPr>
                  <w:rStyle w:val="Hyperlink"/>
                </w:rPr>
                <w:t xml:space="preserve">HF 57</w:t>
              </w:r>
            </w:hyperlink>
          </w:p>
        </w:tc>
        <w:tc>
          <w:tcPr>
            <w:tcW w:w="3600" w:type="dxa"/>
            <w:noWrap w:val="false"/>
          </w:tcPr>
          <w:p>
            <w:r>
              <w:rPr>
                <w:sz w:val="20"/>
              </w:rPr>
              <w:t>A bill for an act relating to insurance coverage for prescription drugs used in the treatment of metastatic cancer and associated conditions.</w:t>
            </w:r>
          </w:p>
        </w:tc>
        <w:tc>
          <w:tcPr>
            <w:tcW w:w="4320" w:type="dxa"/>
            <w:noWrap w:val="false"/>
          </w:tcPr>
          <w:p>
            <w:r>
              <w:rPr>
                <w:sz w:val="20"/>
              </w:rPr>
              <w:t>Introduced, referred to Commerce. (1/18/23)</w:t>
            </w:r>
          </w:p>
        </w:tc>
        <w:tc>
          <w:tcPr>
            <w:tcW w:w="4320" w:type="dxa"/>
            <w:noWrap w:val="false"/>
          </w:tcPr>
          <w:p>
            <w:pPr>
              <w:spacing w:before="0" w:after="0"/>
            </w:pPr>
            <w:r>
              <w:t>Support/For</w:t>
            </w:r>
          </w:p>
        </w:tc>
      </w:tr>
      <w:tr>
        <w:trPr>
          <w:cantSplit w:val="true"/>
        </w:trPr>
        <w:tc>
          <w:tcPr>
            <w:tcW w:w="2160" w:type="dxa"/>
            <w:noWrap w:val="false"/>
          </w:tcPr>
          <w:p>
            <w:hyperlink r:id="rId9">
              <w:r>
                <w:rPr>
                  <w:rStyle w:val="Hyperlink"/>
                </w:rPr>
                <w:t xml:space="preserve">HF 71</w:t>
              </w:r>
            </w:hyperlink>
          </w:p>
        </w:tc>
        <w:tc>
          <w:tcPr>
            <w:tcW w:w="3600" w:type="dxa"/>
            <w:noWrap w:val="false"/>
          </w:tcPr>
          <w:p>
            <w:r>
              <w:rPr>
                <w:sz w:val="20"/>
              </w:rPr>
              <w:t>A bill for an act relating to insurance coverage for diagnostic breast cancer examinations.</w:t>
            </w:r>
          </w:p>
        </w:tc>
        <w:tc>
          <w:tcPr>
            <w:tcW w:w="4320" w:type="dxa"/>
            <w:noWrap w:val="false"/>
          </w:tcPr>
          <w:p>
            <w:r>
              <w:rPr>
                <w:sz w:val="20"/>
              </w:rPr>
              <w:t>Introduced, referred to Commerce. (1/20/23)</w:t>
            </w:r>
          </w:p>
        </w:tc>
        <w:tc>
          <w:tcPr>
            <w:tcW w:w="4320" w:type="dxa"/>
            <w:noWrap w:val="false"/>
          </w:tcPr>
          <w:p>
            <w:pPr>
              <w:spacing w:before="0" w:after="0"/>
            </w:pPr>
            <w:r>
              <w:t>Support/For</w:t>
            </w:r>
          </w:p>
        </w:tc>
      </w:tr>
      <w:tr>
        <w:trPr>
          <w:cantSplit w:val="true"/>
        </w:trPr>
        <w:tc>
          <w:tcPr>
            <w:tcW w:w="2160" w:type="dxa"/>
            <w:noWrap w:val="false"/>
          </w:tcPr>
          <w:p>
            <w:hyperlink r:id="rId10">
              <w:r>
                <w:rPr>
                  <w:rStyle w:val="Hyperlink"/>
                </w:rPr>
                <w:t xml:space="preserve">SSB 1009</w:t>
              </w:r>
            </w:hyperlink>
          </w:p>
        </w:tc>
        <w:tc>
          <w:tcPr>
            <w:tcW w:w="3600" w:type="dxa"/>
            <w:noWrap w:val="false"/>
          </w:tcPr>
          <w:p>
            <w:r>
              <w:rPr>
                <w:sz w:val="20"/>
              </w:rPr>
              <w:t>A bill for an act relating to insurance coverage for prescription drugs used in the treatment of metastatic cancer and associated conditions.</w:t>
            </w:r>
          </w:p>
        </w:tc>
        <w:tc>
          <w:tcPr>
            <w:tcW w:w="4320" w:type="dxa"/>
            <w:noWrap w:val="false"/>
          </w:tcPr>
          <w:p>
            <w:r>
              <w:rPr>
                <w:sz w:val="20"/>
              </w:rPr>
              <w:t>Subcommittee recommends passage. []. (1/18/23)</w:t>
            </w:r>
          </w:p>
        </w:tc>
        <w:tc>
          <w:tcPr>
            <w:tcW w:w="4320" w:type="dxa"/>
            <w:noWrap w:val="false"/>
          </w:tcPr>
          <w:p>
            <w:pPr>
              <w:spacing w:before="0" w:after="0"/>
            </w:pPr>
            <w:r>
              <w:t>Support/For</w:t>
            </w:r>
          </w:p>
          <w:p>
            <w:pPr>
              <w:spacing w:before="0" w:after="0"/>
            </w:pPr>
            <w:r>
              <w:t>1-18-23: The subcommittee unanimously advanced SSB 1009. Support for the bill was Susan G Komen and the Iowa Army of Pink. Insurance providers remained “neutral” but made clear they would prefer coverage be limited to cancer-specific treatments.</w:t>
            </w:r>
          </w:p>
          <w:p>
            <w:pPr>
              <w:spacing w:before="0" w:after="0"/>
            </w:pPr>
            <w:r>
              <w:t/>
            </w:r>
          </w:p>
        </w:tc>
      </w:tr>
    </w:tbl>
    <w:p>
      <w:r>
        <w:rPr>
          <w:sz w:val="24"/>
        </w:rPr>
        <w:t/>
      </w:r>
    </w:p>
    <w:p>
      <w:pPr>
        <w:spacing w:before="0" w:after="0"/>
      </w:pPr>
      <w:r>
        <w:rPr>
          <w:b w:val="true"/>
          <w:sz w:val="48"/>
          <w:u w:val="single"/>
        </w:rPr>
        <w:t>Passed One Chamber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1">
              <w:r>
                <w:rPr>
                  <w:rStyle w:val="Hyperlink"/>
                </w:rPr>
                <w:t xml:space="preserve">HF 626</w:t>
              </w:r>
            </w:hyperlink>
          </w:p>
        </w:tc>
        <w:tc>
          <w:tcPr>
            <w:tcW w:w="3600" w:type="dxa"/>
            <w:noWrap w:val="false"/>
          </w:tcPr>
          <w:p>
            <w:r>
              <w:rPr>
                <w:sz w:val="20"/>
              </w:rPr>
              <w:t>A bill for an act relating to continuity of care and nonmedical switching by health carriers, health benefit plans, and utilization review organizations, and including applicability provisions. (Formerly HF 96.)</w:t>
            </w:r>
          </w:p>
        </w:tc>
        <w:tc>
          <w:tcPr>
            <w:tcW w:w="4320" w:type="dxa"/>
            <w:noWrap w:val="false"/>
          </w:tcPr>
          <w:p>
            <w:r>
              <w:rPr>
                <w:sz w:val="20"/>
              </w:rPr>
              <w:t>Fiscal note. (3/29/23)</w:t>
            </w:r>
          </w:p>
        </w:tc>
        <w:tc>
          <w:tcPr>
            <w:tcW w:w="4320" w:type="dxa"/>
            <w:noWrap w:val="false"/>
          </w:tcPr>
          <w:p>
            <w:pPr>
              <w:spacing w:before="0" w:after="0"/>
            </w:pPr>
            <w:r>
              <w:t>Support/For</w:t>
            </w:r>
          </w:p>
          <w:p>
            <w:pPr>
              <w:spacing w:before="0" w:after="0"/>
            </w:pPr>
            <w:r>
              <w:t>3:29: Sen. Costello confirmed they would not be moving the bill and would be recommending it be sent to the Commerce Committee where it belongs. He did appreiciate us answering his questions as he considered the merits of the bill. Ultimatly he said Chair Edler wasn't open to moving it.  The good news is, we are threw one chamber and we have a positive fiscal note.  We are in a good place for the 2024 Session, but have much work to do in the Senate during the interim. </w:t>
            </w:r>
            <w:br/>
            <w:r>
              <w:t/>
            </w:r>
            <w:br/>
            <w:r>
              <w:t>3/27: We continue to meet with Sens. Costello &amp; Edler about moving the bill to the full HHS cmte in the Senate.  We have provided them with recent information about the indutry tactics and the why the bill as amended doesn't have a negative impact on the insurance industry yet helps Iowans living with chronic conditions. Edler is the hold up. </w:t>
            </w:r>
          </w:p>
          <w:p>
            <w:pPr>
              <w:spacing w:before="0" w:after="0"/>
            </w:pPr>
            <w:r>
              <w:t/>
            </w:r>
          </w:p>
        </w:tc>
      </w:tr>
    </w:tbl>
    <w:p>
      <w:r>
        <w:rPr>
          <w:sz w:val="24"/>
        </w:rPr>
        <w:t/>
      </w:r>
    </w:p>
    <w:p>
      <w:pPr>
        <w:spacing w:before="0" w:after="0"/>
      </w:pPr>
      <w:r>
        <w:rPr>
          <w:b w:val="true"/>
          <w:sz w:val="48"/>
          <w:u w:val="single"/>
        </w:rPr>
        <w:t>Did Not Advance</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2">
              <w:r>
                <w:rPr>
                  <w:rStyle w:val="Hyperlink"/>
                </w:rPr>
                <w:t xml:space="preserve">HF 57</w:t>
              </w:r>
            </w:hyperlink>
          </w:p>
        </w:tc>
        <w:tc>
          <w:tcPr>
            <w:tcW w:w="3600" w:type="dxa"/>
            <w:noWrap w:val="false"/>
          </w:tcPr>
          <w:p>
            <w:r>
              <w:rPr>
                <w:sz w:val="20"/>
              </w:rPr>
              <w:t>A bill for an act relating to insurance coverage for prescription drugs used in the treatment of metastatic cancer and associated conditions.</w:t>
            </w:r>
          </w:p>
        </w:tc>
        <w:tc>
          <w:tcPr>
            <w:tcW w:w="4320" w:type="dxa"/>
            <w:noWrap w:val="false"/>
          </w:tcPr>
          <w:p>
            <w:r>
              <w:rPr>
                <w:sz w:val="20"/>
              </w:rPr>
              <w:t>Introduced, referred to Commerce. (1/18/23)</w:t>
            </w:r>
          </w:p>
        </w:tc>
        <w:tc>
          <w:tcPr>
            <w:tcW w:w="4320" w:type="dxa"/>
            <w:noWrap w:val="false"/>
          </w:tcPr>
          <w:p>
            <w:pPr>
              <w:spacing w:before="0" w:after="0"/>
            </w:pPr>
            <w:r>
              <w:t>Support/For</w:t>
            </w:r>
          </w:p>
        </w:tc>
      </w:tr>
      <w:tr>
        <w:trPr>
          <w:cantSplit w:val="true"/>
        </w:trPr>
        <w:tc>
          <w:tcPr>
            <w:tcW w:w="2160" w:type="dxa"/>
            <w:noWrap w:val="false"/>
          </w:tcPr>
          <w:p>
            <w:hyperlink r:id="rId13">
              <w:r>
                <w:rPr>
                  <w:rStyle w:val="Hyperlink"/>
                </w:rPr>
                <w:t xml:space="preserve">HF 71</w:t>
              </w:r>
            </w:hyperlink>
          </w:p>
        </w:tc>
        <w:tc>
          <w:tcPr>
            <w:tcW w:w="3600" w:type="dxa"/>
            <w:noWrap w:val="false"/>
          </w:tcPr>
          <w:p>
            <w:r>
              <w:rPr>
                <w:sz w:val="20"/>
              </w:rPr>
              <w:t>A bill for an act relating to insurance coverage for diagnostic breast cancer examinations.</w:t>
            </w:r>
          </w:p>
        </w:tc>
        <w:tc>
          <w:tcPr>
            <w:tcW w:w="4320" w:type="dxa"/>
            <w:noWrap w:val="false"/>
          </w:tcPr>
          <w:p>
            <w:r>
              <w:rPr>
                <w:sz w:val="20"/>
              </w:rPr>
              <w:t>Introduced, referred to Commerce. (1/20/23)</w:t>
            </w:r>
          </w:p>
        </w:tc>
        <w:tc>
          <w:tcPr>
            <w:tcW w:w="4320" w:type="dxa"/>
            <w:noWrap w:val="false"/>
          </w:tcPr>
          <w:p>
            <w:pPr>
              <w:spacing w:before="0" w:after="0"/>
            </w:pPr>
            <w:r>
              <w:t>Support/For</w:t>
            </w:r>
          </w:p>
        </w:tc>
      </w:tr>
      <w:tr>
        <w:trPr>
          <w:cantSplit w:val="true"/>
        </w:trPr>
        <w:tc>
          <w:tcPr>
            <w:tcW w:w="2160" w:type="dxa"/>
            <w:noWrap w:val="false"/>
          </w:tcPr>
          <w:p>
            <w:hyperlink r:id="rId14">
              <w:r>
                <w:rPr>
                  <w:rStyle w:val="Hyperlink"/>
                </w:rPr>
                <w:t xml:space="preserve">SF 86</w:t>
              </w:r>
            </w:hyperlink>
          </w:p>
          <w:p>
            <w:hyperlink r:id="rId15">
              <w:r>
                <w:rPr>
                  <w:rStyle w:val="Hyperlink"/>
                </w:rPr>
                <w:t xml:space="preserve">CO:HF 96</w:t>
              </w:r>
            </w:hyperlink>
          </w:p>
        </w:tc>
        <w:tc>
          <w:tcPr>
            <w:tcW w:w="3600" w:type="dxa"/>
            <w:noWrap w:val="false"/>
          </w:tcPr>
          <w:p>
            <w:r>
              <w:rPr>
                <w:sz w:val="20"/>
              </w:rPr>
              <w:t>A bill for an act relating to continuity of care and nonmedical switching by health carriers, health benefit plans, and utilization review organizations, and including applicability provisions.</w:t>
            </w:r>
          </w:p>
        </w:tc>
        <w:tc>
          <w:tcPr>
            <w:tcW w:w="4320" w:type="dxa"/>
            <w:noWrap w:val="false"/>
          </w:tcPr>
          <w:p>
            <w:r>
              <w:rPr>
                <w:sz w:val="20"/>
              </w:rPr>
              <w:t>Subcommittee recommends amendment and passage. []. (1/26/23)</w:t>
            </w:r>
          </w:p>
        </w:tc>
        <w:tc>
          <w:tcPr>
            <w:tcW w:w="4320" w:type="dxa"/>
            <w:noWrap w:val="false"/>
          </w:tcPr>
          <w:p>
            <w:pPr>
              <w:spacing w:before="0" w:after="0"/>
            </w:pPr>
            <w:r>
              <w:t>Support/For</w:t>
            </w:r>
          </w:p>
          <w:p>
            <w:pPr>
              <w:spacing w:before="0" w:after="0"/>
            </w:pPr>
            <w:r>
              <w:t>2/3: The AS team continued to meet with members of the Commerce Committee this week to gauge their support. We talked with Senators Brown, Costello, Edler, Bisignano, Jochum, Klimesh, Koelker, Giddens, Rowley, Trone Garriott, and Westrich. All are supportive. We also talked with Sen Klimesh about possibel amendments to the bill. He's working with the House to identify amendments to address the appeals process - allowing patients to stay on their prescribed drug during this period; clarifying its for an ongoing chronic condition and addressing the inperpituity of coverage. More to come on these issues, but know we are working closly with all members to ensure the intent of the bill is not diminished. </w:t>
            </w:r>
          </w:p>
          <w:p>
            <w:pPr>
              <w:spacing w:before="0" w:after="0"/>
            </w:pPr>
            <w:r>
              <w:t/>
            </w:r>
          </w:p>
        </w:tc>
      </w:tr>
      <w:tr>
        <w:trPr>
          <w:cantSplit w:val="true"/>
        </w:trPr>
        <w:tc>
          <w:tcPr>
            <w:tcW w:w="2160" w:type="dxa"/>
            <w:noWrap w:val="false"/>
          </w:tcPr>
          <w:p>
            <w:hyperlink r:id="rId16">
              <w:r>
                <w:rPr>
                  <w:rStyle w:val="Hyperlink"/>
                </w:rPr>
                <w:t xml:space="preserve">SF 307</w:t>
              </w:r>
            </w:hyperlink>
          </w:p>
        </w:tc>
        <w:tc>
          <w:tcPr>
            <w:tcW w:w="3600" w:type="dxa"/>
            <w:noWrap w:val="false"/>
          </w:tcPr>
          <w:p>
            <w:r>
              <w:rPr>
                <w:sz w:val="20"/>
              </w:rPr>
              <w:t>A bill for an act relating to step therapy protocols and interchangeable biosimilars.</w:t>
            </w:r>
          </w:p>
        </w:tc>
        <w:tc>
          <w:tcPr>
            <w:tcW w:w="4320" w:type="dxa"/>
            <w:noWrap w:val="false"/>
          </w:tcPr>
          <w:p>
            <w:r>
              <w:rPr>
                <w:sz w:val="20"/>
              </w:rPr>
              <w:t>Subcommittee recommends indefinite postponement. []. (2/23/23)</w:t>
            </w:r>
          </w:p>
        </w:tc>
        <w:tc>
          <w:tcPr>
            <w:tcW w:w="4320" w:type="dxa"/>
            <w:noWrap w:val="false"/>
          </w:tcPr>
          <w:p>
            <w:pPr>
              <w:spacing w:before="0" w:after="0"/>
            </w:pPr>
            <w:r>
              <w:t>Track (no public position, but follow it)</w:t>
            </w:r>
          </w:p>
          <w:p>
            <w:pPr>
              <w:spacing w:before="0" w:after="0"/>
            </w:pPr>
            <w:r>
              <w:t>After hearing supportive comments from the insurance industry and concerns by the patient advocacy community, this bill did not advance.</w:t>
            </w:r>
          </w:p>
          <w:p>
            <w:pPr>
              <w:spacing w:before="0" w:after="0"/>
            </w:pPr>
            <w:r>
              <w:t/>
            </w:r>
          </w:p>
        </w:tc>
      </w:tr>
      <w:tr>
        <w:trPr>
          <w:cantSplit w:val="true"/>
        </w:trPr>
        <w:tc>
          <w:tcPr>
            <w:tcW w:w="2160" w:type="dxa"/>
            <w:noWrap w:val="false"/>
          </w:tcPr>
          <w:p>
            <w:hyperlink r:id="rId17">
              <w:r>
                <w:rPr>
                  <w:rStyle w:val="Hyperlink"/>
                </w:rPr>
                <w:t xml:space="preserve">SSB 1009</w:t>
              </w:r>
            </w:hyperlink>
          </w:p>
        </w:tc>
        <w:tc>
          <w:tcPr>
            <w:tcW w:w="3600" w:type="dxa"/>
            <w:noWrap w:val="false"/>
          </w:tcPr>
          <w:p>
            <w:r>
              <w:rPr>
                <w:sz w:val="20"/>
              </w:rPr>
              <w:t>A bill for an act relating to insurance coverage for prescription drugs used in the treatment of metastatic cancer and associated conditions.</w:t>
            </w:r>
          </w:p>
        </w:tc>
        <w:tc>
          <w:tcPr>
            <w:tcW w:w="4320" w:type="dxa"/>
            <w:noWrap w:val="false"/>
          </w:tcPr>
          <w:p>
            <w:r>
              <w:rPr>
                <w:sz w:val="20"/>
              </w:rPr>
              <w:t>Subcommittee recommends passage. []. (1/18/23)</w:t>
            </w:r>
          </w:p>
        </w:tc>
        <w:tc>
          <w:tcPr>
            <w:tcW w:w="4320" w:type="dxa"/>
            <w:noWrap w:val="false"/>
          </w:tcPr>
          <w:p>
            <w:pPr>
              <w:spacing w:before="0" w:after="0"/>
            </w:pPr>
            <w:r>
              <w:t>Support/For</w:t>
            </w:r>
          </w:p>
          <w:p>
            <w:pPr>
              <w:spacing w:before="0" w:after="0"/>
            </w:pPr>
            <w:r>
              <w:t>1-18-23: The subcommittee unanimously advanced SSB 1009. Support for the bill was Susan G Komen and the Iowa Army of Pink. Insurance providers remained “neutral” but made clear they would prefer coverage be limited to cancer-specific treatments.</w:t>
            </w:r>
          </w:p>
          <w:p>
            <w:pPr>
              <w:spacing w:before="0" w:after="0"/>
            </w:pPr>
            <w:r>
              <w:t/>
            </w:r>
          </w:p>
        </w:tc>
      </w:tr>
      <w:tr>
        <w:trPr>
          <w:cantSplit w:val="true"/>
        </w:trPr>
        <w:tc>
          <w:tcPr>
            <w:tcW w:w="2160" w:type="dxa"/>
            <w:noWrap w:val="false"/>
          </w:tcPr>
          <w:p>
            <w:hyperlink r:id="rId18">
              <w:r>
                <w:rPr>
                  <w:rStyle w:val="Hyperlink"/>
                </w:rPr>
                <w:t xml:space="preserve">SSB 1100</w:t>
              </w:r>
            </w:hyperlink>
          </w:p>
        </w:tc>
        <w:tc>
          <w:tcPr>
            <w:tcW w:w="3600" w:type="dxa"/>
            <w:noWrap w:val="false"/>
          </w:tcPr>
          <w:p>
            <w:r>
              <w:rPr>
                <w:sz w:val="20"/>
              </w:rPr>
              <w:t>A bill for an act relating to prior authorization exemptions for certain health care providers for specific health care services.</w:t>
            </w:r>
          </w:p>
        </w:tc>
        <w:tc>
          <w:tcPr>
            <w:tcW w:w="4320" w:type="dxa"/>
            <w:noWrap w:val="false"/>
          </w:tcPr>
          <w:p>
            <w:r>
              <w:rPr>
                <w:sz w:val="20"/>
              </w:rPr>
              <w:t>Subcommittee Meeting: 02/08/2023 4:00PM Room 315. (2/8/23)</w:t>
            </w:r>
          </w:p>
        </w:tc>
        <w:tc>
          <w:tcPr>
            <w:tcW w:w="4320" w:type="dxa"/>
            <w:noWrap w:val="false"/>
          </w:tcPr>
          <w:p>
            <w:pPr>
              <w:spacing w:before="0" w:after="0"/>
            </w:pPr>
            <w:r>
              <w:t>Monitor/Undecided</w:t>
            </w:r>
          </w:p>
          <w:p>
            <w:pPr>
              <w:spacing w:before="0" w:after="0"/>
            </w:pPr>
            <w:r>
              <w:t>Like the House’s subcommittee, insurance lobbyists lined up to speak against this bill. Representation from Wellmark suggested that if lawmakers are set on continuing this discussion, they should change the bill to direct health carriers to implement a prior authorization gold card system. He said this shouldn’t be a one-size fits all approach and the carrier should have the ability to craft its own gold card program. “Eliminating prior auth isn’t in the patient’s interest… this is a safety issue.”</w:t>
            </w:r>
          </w:p>
          <w:p>
            <w:pPr>
              <w:spacing w:before="0" w:after="0"/>
            </w:pPr>
            <w:r>
              <w:t/>
            </w:r>
          </w:p>
        </w:tc>
      </w:tr>
    </w:tbl>
    <w:sectPr>
      <w:headerReference w:type="default" r:id="rId3"/>
      <w:footerReference w:type="default" r:id="rId4"/>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lang w:val="en-US"/>
      </w:rPr>
      <w:t xml:space="preserve">PAGE </w:t>
    </w:r>
    <w:r>
      <w:rPr/>
      <w:fldChar w:fldCharType="begin"/>
    </w:r>
    <w:r>
      <w:rPr/>
      <w:instrText> PAGE </w:instrText>
    </w:r>
    <w:r>
      <w:rPr/>
      <w:fldChar w:fldCharType="separate"/>
    </w:r>
    <w:r>
      <w:rPr/>
      <w:t>1</w:t>
    </w:r>
    <w:r>
      <w:rPr/>
      <w:fldChar w:fldCharType="end"/>
    </w:r>
    <w:r>
      <w:rPr>
        <w:rFonts w:ascii="Cambria" w:hAnsi="Cambria"/>
        <w:sz w:val="18"/>
        <w:szCs w:val="18"/>
        <w:lang w:val="en-US"/>
      </w:rPr>
      <w:t xml:space="preserve"> - </w:t>
    </w:r>
    <w:r>
      <w:rPr/>
      <w:fldChar w:fldCharType="begin"/>
    </w:r>
    <w:r>
      <w:rPr/>
      <w:instrText> DATE \@"M\/d\/yy" </w:instrText>
    </w:r>
    <w:r>
      <w:rPr/>
      <w:fldChar w:fldCharType="separate"/>
    </w:r>
    <w:r>
      <w:rPr/>
      <w:t>9/18/23</w:t>
    </w:r>
    <w:r>
      <w:rPr/>
      <w:fldChar w:fldCharType="end"/>
    </w:r>
  </w:p>
</w:ftr>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rPr/>
      <w:t xml:space="preserve">                                                           </w:t>
    </w:r>
    <w:r>
      <w:rPr>
        <w:b/>
        <w:bCs/>
        <w:sz w:val="44"/>
        <w:szCs w:val="44"/>
      </w:rPr>
      <w:t>Susan G. Komen Foundation 2023 Bill Tracker</w:t>
    </w:r>
  </w:p>
</w:hdr>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true">
    <w:name w:val="Normal"/>
    <w:qFormat/>
    <w:pPr>
      <w:keepNext w:val="false"/>
      <w:keepLines w:val="false"/>
      <w:pageBreakBefore w:val="false"/>
      <w:widowControl/>
      <w:shd w:val="clear" w:color="auto" w:fill="auto"/>
      <w:suppressAutoHyphens w:val="false"/>
      <w:bidi w:val="false"/>
      <w:spacing w:before="0" w:beforeAutospacing="false" w:after="0" w:afterAutospacing="false" w:line="240" w:lineRule="auto"/>
      <w:ind w:left="0" w:right="0" w:hanging="0"/>
      <w:jc w:val="left"/>
    </w:pPr>
    <w:rPr>
      <w:rFonts w:ascii="Gill Sans MT"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Cs w:val="24"/>
      <w:u w:val="none" w:color="FFFFFF"/>
      <w:vertAlign w:val="baseline"/>
      <w:lang w:val="en-US" w:eastAsia="en-US" w:bidi="ar-SA"/>
    </w:rPr>
  </w:style>
  <w:style w:type="character" w:styleId="DefaultParagraphFont" w:default="true">
    <w:name w:val="Default Paragraph Font"/>
    <w:qFormat/>
    <w:rPr/>
  </w:style>
  <w:style w:type="character" w:styleId="InternetLink">
    <w:name w:val="Hyperlink"/>
    <w:rPr>
      <w:rFonts w:ascii="Gill Sans MT"/>
      <w:b w:val="true"/>
      <w:color w:val="000000"/>
      <w:sz w:val="22"/>
      <w:u w:val="single" w:color="000000"/>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Body">
    <w:name w:val="Body"/>
    <w:qFormat/>
    <w:pPr>
      <w:keepNext w:val="false"/>
      <w:keepLines w:val="false"/>
      <w:pageBreakBefore w:val="false"/>
      <w:widowControl/>
      <w:shd w:val="clear" w:color="auto" w:fill="auto"/>
      <w:suppressAutoHyphens w:val="true"/>
      <w:bidi w:val="false"/>
      <w:spacing w:before="0" w:beforeAutospacing="false" w:after="120" w:afterAutospacing="false" w:line="276"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de-DE" w:eastAsia="zh-CN" w:bidi="hi-IN"/>
    </w:rPr>
  </w:style>
  <w:style w:type="paragraph" w:styleId="HeaderandFooter">
    <w:name w:val="Header and Footer"/>
    <w:basedOn w:val="Normal"/>
    <w:qFormat/>
    <w:pPr/>
    <w:rPr/>
  </w:style>
  <w:style w:type="paragraph" w:styleId="Footer">
    <w:name w:val="Footer"/>
    <w:pPr>
      <w:keepNext w:val="false"/>
      <w:keepLines w:val="false"/>
      <w:pageBreakBefore w:val="false"/>
      <w:widowControl/>
      <w:shd w:val="clear" w:color="auto" w:fill="auto"/>
      <w:tabs>
        <w:tab w:val="clear" w:pos="720"/>
        <w:tab w:val="center" w:leader="none" w:pos="4680"/>
        <w:tab w:val="right" w:leader="none" w:pos="9360"/>
      </w:tabs>
      <w:suppressAutoHyphens w:val="true"/>
      <w:bidi w:val="false"/>
      <w:spacing w:before="0" w:beforeAutospacing="false" w:after="0" w:afterAutospacing="false" w:line="240"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en-US" w:eastAsia="zh-CN" w:bidi="hi-IN"/>
    </w:rPr>
  </w:style>
  <w:style w:type="paragraph" w:styleId="Header">
    <w:name w:val="Header"/>
    <w:basedOn w:val="HeaderandFooter"/>
    <w:pPr/>
    <w:rPr/>
  </w:style>
  <w:style w:type="numbering" w:styleId="NoList" w:default="true">
    <w:name w:val="No List"/>
    <w:qFormat/>
  </w:style>
  <w:style w:type="table" w:styleId="Table Normal" w:default="true">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media/image1.jpeg" Type="http://schemas.openxmlformats.org/officeDocument/2006/relationships/image" Id="rId2"></Relationship><Relationship Target="header1.xml" Type="http://schemas.openxmlformats.org/officeDocument/2006/relationships/header" Id="rId3"></Relationship><Relationship Target="footer1.xml" Type="http://schemas.openxmlformats.org/officeDocument/2006/relationships/footer" Id="rId4"></Relationship><Relationship Target="fontTable.xml" Type="http://schemas.openxmlformats.org/officeDocument/2006/relationships/fontTable" Id="rId5"></Relationship><Relationship Target="settings.xml" Type="http://schemas.openxmlformats.org/officeDocument/2006/relationships/settings" Id="rId6"></Relationship><Relationship Target="theme/theme1.xml" Type="http://schemas.openxmlformats.org/officeDocument/2006/relationships/theme" Id="rId7"></Relationship><Relationship TargetMode="External" Target="https://www.legis.iowa.gov/legislation/BillBook?ga=90&amp;ba=HF57" Type="http://schemas.openxmlformats.org/officeDocument/2006/relationships/hyperlink" Id="rId8"/><Relationship TargetMode="External" Target="https://www.legis.iowa.gov/legislation/BillBook?ga=90&amp;ba=HF71" Type="http://schemas.openxmlformats.org/officeDocument/2006/relationships/hyperlink" Id="rId9"/><Relationship TargetMode="External" Target="https://www.legis.iowa.gov/legislation/BillBook?ga=90&amp;ba=SSB1009" Type="http://schemas.openxmlformats.org/officeDocument/2006/relationships/hyperlink" Id="rId10"/><Relationship TargetMode="External" Target="https://www.legis.iowa.gov/legislation/BillBook?ga=90&amp;ba=HF626" Type="http://schemas.openxmlformats.org/officeDocument/2006/relationships/hyperlink" Id="rId11"/><Relationship TargetMode="External" Target="https://www.legis.iowa.gov/legislation/BillBook?ga=90&amp;ba=HF57" Type="http://schemas.openxmlformats.org/officeDocument/2006/relationships/hyperlink" Id="rId12"/><Relationship TargetMode="External" Target="https://www.legis.iowa.gov/legislation/BillBook?ga=90&amp;ba=HF71" Type="http://schemas.openxmlformats.org/officeDocument/2006/relationships/hyperlink" Id="rId13"/><Relationship TargetMode="External" Target="https://www.legis.iowa.gov/legislation/BillBook?ga=90&amp;ba=SF86" Type="http://schemas.openxmlformats.org/officeDocument/2006/relationships/hyperlink" Id="rId14"/><Relationship TargetMode="External" Target="https://www.legis.iowa.gov/legislation/BillBook?ga=90&amp;ba=HF96" Type="http://schemas.openxmlformats.org/officeDocument/2006/relationships/hyperlink" Id="rId15"/><Relationship TargetMode="External" Target="https://www.legis.iowa.gov/legislation/BillBook?ga=90&amp;ba=SF307" Type="http://schemas.openxmlformats.org/officeDocument/2006/relationships/hyperlink" Id="rId16"/><Relationship TargetMode="External" Target="https://www.legis.iowa.gov/legislation/BillBook?ga=90&amp;ba=SSB1009" Type="http://schemas.openxmlformats.org/officeDocument/2006/relationships/hyperlink" Id="rId17"/><Relationship TargetMode="External" Target="https://www.legis.iowa.gov/legislation/BillBook?ga=90&amp;ba=SSB1100" Type="http://schemas.openxmlformats.org/officeDocument/2006/relationships/hyperlink" Id="rId18"/></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sx="100000" sy="100000" kx="0" ky="0" algn="b" rotWithShape="false">
              <a:srgbClr val="000000">
                <a:alpha val="35000"/>
              </a:srgbClr>
            </a:outerShdw>
          </a:effectLst>
        </a:effectStyle>
        <a:effectStyle>
          <a:effectLst>
            <a:outerShdw blurRad="38100" dist="23000" dir="5400000" sx="100000" sy="100000" kx="0" ky="0" algn="b" rotWithShape="false">
              <a:srgbClr val="000000">
                <a:alpha val="35000"/>
              </a:srgbClr>
            </a:outerShdw>
          </a:effectLst>
        </a:effectStyle>
        <a:effectStyle>
          <a:effectLst>
            <a:outerShdw blurRad="38100" dist="20000" dir="5400000" sx="100000" sy="100000" kx="0" ky="0" algn="b"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sx="100000" sy="100000" kx="0" ky="0" algn="b" rotWithShape="false">
            <a:srgbClr val="000000">
              <a:alpha val="35000"/>
            </a:srgbClr>
          </a:outerShdw>
        </a:effectLst>
        <a:sp3d/>
      </a:spPr>
      <a:bodyPr rot="0" spcFirstLastPara="true" vertOverflow="overflow" horzOverflow="overflow" vert="horz" wrap="square" lIns="45719" tIns="45719" rIns="45719" bIns="45719" numCol="1" spcCol="38100" rtlCol="false" anchor="ctr"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blurRad="38100" dist="20000" dir="5400000" sx="100000" sy="100000" kx="0" ky="0" algn="b" rotWithShape="false">
            <a:srgbClr val="000000">
              <a:alpha val="38000"/>
            </a:srgbClr>
          </a:outerShdw>
        </a:effectLst>
        <a:sp3d/>
      </a:spPr>
      <a:bodyPr rot="0" spcFirstLastPara="true" vertOverflow="overflow" horzOverflow="overflow" vert="horz" wrap="square" lIns="91439" tIns="45719" rIns="91439" bIns="45719" numCol="1" spcCol="38100" rtlCol="false" anchor="t" upright="false">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txDef>
  </a:objectDefaults>
</a:theme>
</file>

<file path=docProps/app.xml><?xml version="1.0" encoding="utf-8"?>
<properties:Properties xmlns:properties="http://schemas.openxmlformats.org/officeDocument/2006/extended-properties" xmlns:vt="http://schemas.openxmlformats.org/officeDocument/2006/docPropsVTypes">
  <properties:Template/>
  <properties:Pages>1</properties:Pages>
  <properties:Words>14</properties:Words>
  <properties:Characters>51</properties:Characters>
  <properties:Paragraphs>5</properties:Paragraphs>
  <properties:TotalTime>1345</properties:TotalTime>
  <properties:CharactersWithSpaces>119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
  <dc:description/>
  <dc:language>en-US</dc:language>
  <cp:lastModifiedBy>docx4j</cp:lastModifiedBy>
  <dcterms:modified xmlns:xsi="http://www.w3.org/2001/XMLSchema-instance" xsi:type="dcterms:W3CDTF">2023-09-18T10:46:21Z</dcterms:modified>
  <cp:revision>7</cp:revision>
  <dc:subject/>
  <dc:title/>
</cp:coreProperties>
</file>

<file path=docProps/custom.xml><?xml version="1.0" encoding="utf-8"?>
<prop:Properties xmlns:vt="http://schemas.openxmlformats.org/officeDocument/2006/docPropsVTypes" xmlns:prop="http://schemas.openxmlformats.org/officeDocument/2006/custom-properties"/>
</file>