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On Wednesday, Loulou came to speak at the SF 600 sub, the Webster stormwater drainage system fee bill. Loulou read off a statement with ISWEP's concerns about qualification requirements, general permit language confusions, exemption proposal, and the retention pond focus. She was joined by a professional from the City of Des Moines.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825</w:t>
              </w:r>
            </w:hyperlink>
          </w:p>
          <w:p>
            <w:hyperlink r:id="rId8">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HSB 313</w:t>
              </w:r>
            </w:hyperlink>
          </w:p>
          <w:p>
            <w:hyperlink r:id="rId10">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Monitor/Undecided</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12">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3">
              <w:r>
                <w:rPr>
                  <w:rStyle w:val="Hyperlink"/>
                  <w:color w:val="0000FF"/>
                </w:rPr>
                <w:t xml:space="preserve">SF 601</w:t>
              </w:r>
            </w:hyperlink>
          </w:p>
          <w:p>
            <w:hyperlink r:id="rId14">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SSB 1208</w:t>
              </w:r>
            </w:hyperlink>
          </w:p>
          <w:p>
            <w:hyperlink r:id="rId16">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825</w:t>
              </w:r>
            </w:hyperlink>
          </w:p>
          <w:p>
            <w:hyperlink r:id="rId18">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HSB 313</w:t>
              </w:r>
            </w:hyperlink>
          </w:p>
          <w:p>
            <w:hyperlink r:id="rId20">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SSB 1208</w:t>
              </w:r>
            </w:hyperlink>
          </w:p>
          <w:p>
            <w:hyperlink r:id="rId22">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SF 489</w:t>
              </w:r>
            </w:hyperlink>
          </w:p>
        </w:tc>
        <w:tc>
          <w:tcPr>
            <w:tcW w:w="3600" w:type="dxa"/>
            <w:noWrap w:val="false"/>
          </w:tcPr>
          <w:p>
            <w:r>
              <w:rPr>
                <w:sz w:val="20"/>
              </w:rPr>
              <w:t>A bill for an act requiring the department of transportation to ensure equal representation for the development of statewide urban design specifications.(Formerly SSB 1139.)</w:t>
            </w:r>
          </w:p>
        </w:tc>
        <w:tc>
          <w:tcPr>
            <w:tcW w:w="4320" w:type="dxa"/>
            <w:noWrap w:val="false"/>
          </w:tcPr>
          <w:p>
            <w:r>
              <w:rPr>
                <w:sz w:val="20"/>
              </w:rPr>
              <w:t>Committee report, approving bill. (3/4/25)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4">
              <w:r>
                <w:rPr>
                  <w:rStyle w:val="Hyperlink"/>
                  <w:color w:val="0000FF"/>
                </w:rPr>
                <w:t xml:space="preserve">SF 493</w:t>
              </w:r>
            </w:hyperlink>
          </w:p>
        </w:tc>
        <w:tc>
          <w:tcPr>
            <w:tcW w:w="3600" w:type="dxa"/>
            <w:noWrap w:val="false"/>
          </w:tcPr>
          <w:p>
            <w:r>
              <w:rPr>
                <w:sz w:val="20"/>
              </w:rPr>
              <w:t>A bill for an act prohibiting political subdivisions from using certain moneys to hire lobbyists or pay instrumentalities, and providing penalties.(Formerly SSB 1042.)</w:t>
            </w:r>
          </w:p>
        </w:tc>
        <w:tc>
          <w:tcPr>
            <w:tcW w:w="4320" w:type="dxa"/>
            <w:noWrap w:val="false"/>
          </w:tcPr>
          <w:p>
            <w:r>
              <w:rPr>
                <w:sz w:val="20"/>
              </w:rPr>
              <w:t>Fiscal note. (3/20/25)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5">
              <w:r>
                <w:rPr>
                  <w:rStyle w:val="Hyperlink"/>
                  <w:color w:val="0000FF"/>
                </w:rPr>
                <w:t xml:space="preserve">SF 498</w:t>
              </w:r>
            </w:hyperlink>
          </w:p>
        </w:tc>
        <w:tc>
          <w:tcPr>
            <w:tcW w:w="3600" w:type="dxa"/>
            <w:noWrap w:val="false"/>
          </w:tcPr>
          <w:p>
            <w:r>
              <w:rPr>
                <w:sz w:val="20"/>
              </w:rPr>
              <w:t>A bill for an act relating to county and city landscaping regulation in commercial and multifamily residential zones.(Formerly SSB 1108.)</w:t>
            </w:r>
          </w:p>
        </w:tc>
        <w:tc>
          <w:tcPr>
            <w:tcW w:w="4320" w:type="dxa"/>
            <w:noWrap w:val="false"/>
          </w:tcPr>
          <w:p>
            <w:r>
              <w:rPr>
                <w:sz w:val="20"/>
              </w:rPr>
              <w:t>Committee report, approving bill. (3/4/25)</w:t>
            </w:r>
          </w:p>
        </w:tc>
        <w:tc>
          <w:tcPr>
            <w:tcW w:w="4320" w:type="dxa"/>
            <w:noWrap w:val="false"/>
          </w:tcPr>
          <w:p>
            <w:pPr>
              <w:spacing w:before="0" w:after="0"/>
            </w:pPr>
            <w:r>
              <w:t>Monitor/Undecided</w:t>
            </w:r>
          </w:p>
        </w:tc>
      </w:tr>
      <w:tr>
        <w:trPr>
          <w:cantSplit w:val="true"/>
        </w:trPr>
        <w:tc>
          <w:tcPr>
            <w:tcW w:w="2160" w:type="dxa"/>
            <w:noWrap w:val="false"/>
          </w:tcPr>
          <w:p>
            <w:hyperlink r:id="rId26">
              <w:r>
                <w:rPr>
                  <w:rStyle w:val="Hyperlink"/>
                  <w:color w:val="0000FF"/>
                </w:rPr>
                <w:t xml:space="preserve">SF 503</w:t>
              </w:r>
            </w:hyperlink>
          </w:p>
          <w:p>
            <w:hyperlink r:id="rId27">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8">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Monitor/Undecided</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29">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SF 601</w:t>
              </w:r>
            </w:hyperlink>
          </w:p>
          <w:p>
            <w:hyperlink r:id="rId31">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2">
              <w:r>
                <w:rPr>
                  <w:rStyle w:val="Hyperlink"/>
                  <w:color w:val="0000FF"/>
                </w:rPr>
                <w:t xml:space="preserve">HF 151</w:t>
              </w:r>
            </w:hyperlink>
          </w:p>
        </w:tc>
        <w:tc>
          <w:tcPr>
            <w:tcW w:w="3600" w:type="dxa"/>
            <w:noWrap w:val="false"/>
          </w:tcPr>
          <w:p>
            <w:r>
              <w:rPr>
                <w:sz w:val="20"/>
              </w:rPr>
              <w:t>A bill for an act relating to surface water quality by requiring the establishment and maintenance of riparian protection measures, providing for financing, and providing penalties.</w:t>
            </w:r>
          </w:p>
        </w:tc>
        <w:tc>
          <w:tcPr>
            <w:tcW w:w="4320" w:type="dxa"/>
            <w:shd w:val="clear" w:color="auto" w:fill="FF8080" w:themeFillTint="30"/>
            <w:noWrap w:val="false"/>
          </w:tcPr>
          <w:p>
            <w:r>
              <w:rPr>
                <w:sz w:val="20"/>
              </w:rPr>
              <w:t>Introduced, referred to Environmental Protection. (1/30/25)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3">
              <w:r>
                <w:rPr>
                  <w:rStyle w:val="Hyperlink"/>
                  <w:color w:val="0000FF"/>
                </w:rPr>
                <w:t xml:space="preserve">HSB 83</w:t>
              </w:r>
            </w:hyperlink>
          </w:p>
          <w:p>
            <w:hyperlink r:id="rId34">
              <w:r>
                <w:rPr>
                  <w:rStyle w:val="Hyperlink"/>
                  <w:color w:val="0000FF"/>
                </w:rPr>
                <w:t xml:space="preserve">CO:SF 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amendment and passage. (2/11/25)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5">
              <w:r>
                <w:rPr>
                  <w:rStyle w:val="Hyperlink"/>
                  <w:color w:val="0000FF"/>
                </w:rPr>
                <w:t xml:space="preserve">SF 3</w:t>
              </w:r>
            </w:hyperlink>
          </w:p>
          <w:p>
            <w:hyperlink r:id="rId36">
              <w:r>
                <w:rPr>
                  <w:rStyle w:val="Hyperlink"/>
                  <w:color w:val="0000FF"/>
                </w:rPr>
                <w:t xml:space="preserve">CO:HSB 83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Track (no public position, but follow it)</w:t>
            </w:r>
          </w:p>
          <w:p>
            <w:pPr>
              <w:spacing w:before="0" w:after="0"/>
            </w:pPr>
            <w:r>
              <w:t>Sen. Evans introduced bill and spoke in favor at hearing. The bill allows counties the same option to use natural infrastructure as a tool for flood mitigation. The counties, environmental groups, and others spoke in favor of benefits and long-term cost savings. while Farm Bureau spoke in opposition. This bill has passed the House in the past. Members acknowledged Farm Bureau concerns, but all were supportive of moving it forward. Passed 3-0.</w:t>
            </w:r>
          </w:p>
          <w:p>
            <w:pPr>
              <w:spacing w:before="0" w:after="0"/>
            </w:pPr>
            <w:r>
              <w:t/>
            </w:r>
          </w:p>
        </w:tc>
      </w:tr>
      <w:tr>
        <w:trPr>
          <w:cantSplit w:val="true"/>
        </w:trPr>
        <w:tc>
          <w:tcPr>
            <w:tcW w:w="2160" w:type="dxa"/>
            <w:noWrap w:val="false"/>
          </w:tcPr>
          <w:p>
            <w:hyperlink r:id="rId37">
              <w:r>
                <w:rPr>
                  <w:rStyle w:val="Hyperlink"/>
                  <w:color w:val="0000FF"/>
                </w:rPr>
                <w:t xml:space="preserve">HSB 204</w:t>
              </w:r>
            </w:hyperlink>
          </w:p>
          <w:p>
            <w:hyperlink r:id="rId38">
              <w:r>
                <w:rPr>
                  <w:rStyle w:val="Hyperlink"/>
                  <w:color w:val="0000FF"/>
                </w:rPr>
                <w:t xml:space="preserve">CO:SF 601</w:t>
              </w:r>
            </w:hyperlink>
          </w:p>
        </w:tc>
        <w:tc>
          <w:tcPr>
            <w:tcW w:w="3600" w:type="dxa"/>
            <w:noWrap w:val="false"/>
          </w:tcPr>
          <w:p>
            <w:r>
              <w:rPr>
                <w:sz w:val="20"/>
              </w:rPr>
              <w:t>A bill for an act relating to approval requirements for city utilities.</w:t>
            </w:r>
          </w:p>
        </w:tc>
        <w:tc>
          <w:tcPr>
            <w:tcW w:w="4320" w:type="dxa"/>
            <w:shd w:val="clear" w:color="auto" w:fill="FF8080" w:themeFillTint="30"/>
            <w:noWrap w:val="false"/>
          </w:tcPr>
          <w:p>
            <w:r>
              <w:rPr>
                <w:sz w:val="20"/>
              </w:rPr>
              <w:t>Subcommittee: Kniff McCulla, McBurney and Smith. (2/18/25)</w:t>
            </w:r>
          </w:p>
        </w:tc>
        <w:tc>
          <w:tcPr>
            <w:tcW w:w="4320" w:type="dxa"/>
            <w:noWrap w:val="false"/>
          </w:tcPr>
          <w:p>
            <w:pPr>
              <w:spacing w:before="0" w:after="0"/>
            </w:pPr>
            <w:r>
              <w:t/>
            </w:r>
          </w:p>
        </w:tc>
      </w:tr>
      <w:tr>
        <w:trPr>
          <w:cantSplit w:val="true"/>
        </w:trPr>
        <w:tc>
          <w:tcPr>
            <w:tcW w:w="2160" w:type="dxa"/>
            <w:noWrap w:val="false"/>
          </w:tcPr>
          <w:p>
            <w:hyperlink r:id="rId39">
              <w:r>
                <w:rPr>
                  <w:rStyle w:val="Hyperlink"/>
                  <w:color w:val="0000FF"/>
                </w:rPr>
                <w:t xml:space="preserve">SSB 1117</w:t>
              </w:r>
            </w:hyperlink>
          </w:p>
        </w:tc>
        <w:tc>
          <w:tcPr>
            <w:tcW w:w="3600" w:type="dxa"/>
            <w:noWrap w:val="false"/>
          </w:tcPr>
          <w:p>
            <w:r>
              <w:rPr>
                <w:sz w:val="20"/>
              </w:rPr>
              <w:t>A bill for an act relating to sewer service by establishing a maximum rate increase charged by governmental entities.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Track (no public position, but follow it)</w:t>
            </w:r>
          </w:p>
          <w:p>
            <w:pPr>
              <w:spacing w:before="0" w:after="0"/>
            </w:pPr>
            <w:r>
              <w:t>The bill was only support by the Manufactured Housing Association. It was opposed by WRA, Des Moines, League of Cities, IAWA, IAMU, and IRWA. Senator Webster made clear this was the start of a long-term conversation and the bill would not move this session.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Stormwater Education Partnership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825" Type="http://schemas.openxmlformats.org/officeDocument/2006/relationships/hyperlink" Id="rId7"/><Relationship TargetMode="External" Target="https://www.legis.iowa.gov/legislation/BillBook?ga=91&amp;ba=HF593" Type="http://schemas.openxmlformats.org/officeDocument/2006/relationships/hyperlink" Id="rId8"/><Relationship TargetMode="External" Target="https://www.legis.iowa.gov/legislation/BillBook?ga=91&amp;ba=HSB313" Type="http://schemas.openxmlformats.org/officeDocument/2006/relationships/hyperlink" Id="rId9"/><Relationship TargetMode="External" Target="https://www.legis.iowa.gov/legislation/BillBook?ga=91&amp;ba=SSB1208" Type="http://schemas.openxmlformats.org/officeDocument/2006/relationships/hyperlink" Id="rId10"/><Relationship TargetMode="External" Target="https://www.legis.iowa.gov/legislation/BillBook?ga=91&amp;ba=SF595" Type="http://schemas.openxmlformats.org/officeDocument/2006/relationships/hyperlink" Id="rId11"/><Relationship TargetMode="External" Target="https://www.legis.iowa.gov/legislation/BillBook?ga=91&amp;ba=SF600" Type="http://schemas.openxmlformats.org/officeDocument/2006/relationships/hyperlink" Id="rId12"/><Relationship TargetMode="External" Target="https://www.legis.iowa.gov/legislation/BillBook?ga=91&amp;ba=SF601" Type="http://schemas.openxmlformats.org/officeDocument/2006/relationships/hyperlink" Id="rId13"/><Relationship TargetMode="External" Target="https://www.legis.iowa.gov/legislation/BillBook?ga=91&amp;ba=HSB204" Type="http://schemas.openxmlformats.org/officeDocument/2006/relationships/hyperlink" Id="rId14"/><Relationship TargetMode="External" Target="https://www.legis.iowa.gov/legislation/BillBook?ga=91&amp;ba=SSB1208" Type="http://schemas.openxmlformats.org/officeDocument/2006/relationships/hyperlink" Id="rId15"/><Relationship TargetMode="External" Target="https://www.legis.iowa.gov/legislation/BillBook?ga=91&amp;ba=HSB313" Type="http://schemas.openxmlformats.org/officeDocument/2006/relationships/hyperlink" Id="rId16"/><Relationship TargetMode="External" Target="https://www.legis.iowa.gov/legislation/BillBook?ga=91&amp;ba=HF825" Type="http://schemas.openxmlformats.org/officeDocument/2006/relationships/hyperlink" Id="rId17"/><Relationship TargetMode="External" Target="https://www.legis.iowa.gov/legislation/BillBook?ga=91&amp;ba=HF593" Type="http://schemas.openxmlformats.org/officeDocument/2006/relationships/hyperlink" Id="rId18"/><Relationship TargetMode="External" Target="https://www.legis.iowa.gov/legislation/BillBook?ga=91&amp;ba=HSB313" Type="http://schemas.openxmlformats.org/officeDocument/2006/relationships/hyperlink" Id="rId19"/><Relationship TargetMode="External" Target="https://www.legis.iowa.gov/legislation/BillBook?ga=91&amp;ba=SSB1208" Type="http://schemas.openxmlformats.org/officeDocument/2006/relationships/hyperlink" Id="rId20"/><Relationship TargetMode="External" Target="https://www.legis.iowa.gov/legislation/BillBook?ga=91&amp;ba=SSB1208" Type="http://schemas.openxmlformats.org/officeDocument/2006/relationships/hyperlink" Id="rId21"/><Relationship TargetMode="External" Target="https://www.legis.iowa.gov/legislation/BillBook?ga=91&amp;ba=HSB313" Type="http://schemas.openxmlformats.org/officeDocument/2006/relationships/hyperlink" Id="rId22"/><Relationship TargetMode="External" Target="https://www.legis.iowa.gov/legislation/BillBook?ga=91&amp;ba=SF489" Type="http://schemas.openxmlformats.org/officeDocument/2006/relationships/hyperlink" Id="rId23"/><Relationship TargetMode="External" Target="https://www.legis.iowa.gov/legislation/BillBook?ga=91&amp;ba=SF493" Type="http://schemas.openxmlformats.org/officeDocument/2006/relationships/hyperlink" Id="rId24"/><Relationship TargetMode="External" Target="https://www.legis.iowa.gov/legislation/BillBook?ga=91&amp;ba=SF498" Type="http://schemas.openxmlformats.org/officeDocument/2006/relationships/hyperlink" Id="rId25"/><Relationship TargetMode="External" Target="https://www.legis.iowa.gov/legislation/BillBook?ga=91&amp;ba=SF503" Type="http://schemas.openxmlformats.org/officeDocument/2006/relationships/hyperlink" Id="rId26"/><Relationship TargetMode="External" Target="https://www.legis.iowa.gov/legislation/BillBook?ga=91&amp;ba=HF936" Type="http://schemas.openxmlformats.org/officeDocument/2006/relationships/hyperlink" Id="rId27"/><Relationship TargetMode="External" Target="https://www.legis.iowa.gov/legislation/BillBook?ga=91&amp;ba=SF595" Type="http://schemas.openxmlformats.org/officeDocument/2006/relationships/hyperlink" Id="rId28"/><Relationship TargetMode="External" Target="https://www.legis.iowa.gov/legislation/BillBook?ga=91&amp;ba=SF600" Type="http://schemas.openxmlformats.org/officeDocument/2006/relationships/hyperlink" Id="rId29"/><Relationship TargetMode="External" Target="https://www.legis.iowa.gov/legislation/BillBook?ga=91&amp;ba=SF601" Type="http://schemas.openxmlformats.org/officeDocument/2006/relationships/hyperlink" Id="rId30"/><Relationship TargetMode="External" Target="https://www.legis.iowa.gov/legislation/BillBook?ga=91&amp;ba=HSB204" Type="http://schemas.openxmlformats.org/officeDocument/2006/relationships/hyperlink" Id="rId31"/><Relationship TargetMode="External" Target="https://www.legis.iowa.gov/legislation/BillBook?ga=91&amp;ba=HF151" Type="http://schemas.openxmlformats.org/officeDocument/2006/relationships/hyperlink" Id="rId32"/><Relationship TargetMode="External" Target="https://www.legis.iowa.gov/legislation/BillBook?ga=91&amp;ba=HSB83" Type="http://schemas.openxmlformats.org/officeDocument/2006/relationships/hyperlink" Id="rId33"/><Relationship TargetMode="External" Target="https://www.legis.iowa.gov/legislation/BillBook?ga=91&amp;ba=SF3" Type="http://schemas.openxmlformats.org/officeDocument/2006/relationships/hyperlink" Id="rId34"/><Relationship TargetMode="External" Target="https://www.legis.iowa.gov/legislation/BillBook?ga=91&amp;ba=SF3" Type="http://schemas.openxmlformats.org/officeDocument/2006/relationships/hyperlink" Id="rId35"/><Relationship TargetMode="External" Target="https://www.legis.iowa.gov/legislation/BillBook?ga=91&amp;ba=HSB83" Type="http://schemas.openxmlformats.org/officeDocument/2006/relationships/hyperlink" Id="rId36"/><Relationship TargetMode="External" Target="https://www.legis.iowa.gov/legislation/BillBook?ga=91&amp;ba=HSB204" Type="http://schemas.openxmlformats.org/officeDocument/2006/relationships/hyperlink" Id="rId37"/><Relationship TargetMode="External" Target="https://www.legis.iowa.gov/legislation/BillBook?ga=91&amp;ba=SF601" Type="http://schemas.openxmlformats.org/officeDocument/2006/relationships/hyperlink" Id="rId38"/><Relationship TargetMode="External" Target="https://www.legis.iowa.gov/legislation/BillBook?ga=91&amp;ba=SSB1117" Type="http://schemas.openxmlformats.org/officeDocument/2006/relationships/hyperlink" Id="rId39"/></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