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package.relationships+xml" PartName="/_rels/.rels"/>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package.relationships+xml" PartName="/word/_rels/document.xml.rels"/>
  <Override ContentType="application/vnd.openxmlformats-package.relationships+xml" PartName="/word/_rels/header1.xml.rels"/>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image/jpeg" PartName="/word/media/image1.jpe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Target="docProps/core.xml" Type="http://schemas.openxmlformats.org/package/2006/relationships/metadata/core-properties" Id="rId1"></Relationship><Relationship Target="docProps/app.xml" Type="http://schemas.openxmlformats.org/officeDocument/2006/relationships/extended-properties" Id="rId2"></Relationship><Relationship Target="docProps/custom.xml" Type="http://schemas.openxmlformats.org/officeDocument/2006/relationships/custom-properties" Id="rId3"></Relationship><Relationship Target="word/document.xml" Type="http://schemas.openxmlformats.org/officeDocument/2006/relationships/officeDocument" Id="rId4"></Relationship></Relationships>
</file>

<file path=word/document.xml><?xml version="1.0" encoding="utf-8"?>
<w:document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body>
    <w:p>
      <w:pPr>
        <w:pStyle w:val="Body"/>
        <w:spacing w:before="0" w:after="0" w:line="240" w:lineRule="auto"/>
        <w:rPr/>
      </w:pPr>
      <w:r>
        <w:rPr/>
      </w:r>
    </w:p>
    <w:p>
      <w:r>
        <w:rPr>
          <w:sz w:val="24"/>
        </w:rPr>
        <w:t/>
      </w:r>
    </w:p>
    <w:p>
      <w:pPr>
        <w:spacing w:before="0" w:after="0"/>
      </w:pPr>
      <w:r>
        <w:rPr>
          <w:b w:val="true"/>
          <w:sz w:val="36"/>
          <w:u w:val="single"/>
        </w:rPr>
        <w:t>Alive Bills</w:t>
      </w:r>
    </w:p>
    <w:p>
      <w:r>
        <w:rPr>
          <w:sz w:val="36"/>
        </w:rPr>
        <w:t/>
      </w:r>
    </w:p>
    <w:tbl>
      <w:tblPr>
        <w:tblStyle w:val="TableGri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2160"/>
        <w:gridCol w:w="3600"/>
        <w:gridCol w:w="4320"/>
        <w:gridCol w:w="4320"/>
      </w:tblGrid>
      <w:tr>
        <w:trPr>
          <w:tblHeader w:val="true"/>
          <w:cantSplit w:val="true"/>
        </w:trPr>
        <w:tc>
          <w:tcPr>
            <w:tcW w:w="2160" w:type="dxa"/>
            <w:shd w:val="clear" w:color="auto" w:fill="8EB4E0"/>
          </w:tcPr>
          <w:p>
            <w:pPr>
              <w:jc w:val="left"/>
            </w:pPr>
            <w:r>
              <w:rPr>
                <w:b w:val="true"/>
                <w:sz w:val="22"/>
              </w:rPr>
              <w:t>BILL</w:t>
            </w:r>
          </w:p>
        </w:tc>
        <w:tc>
          <w:tcPr>
            <w:tcW w:type="right"/>
            <w:shd w:val="clear" w:color="auto" w:fill="8EB4E0"/>
          </w:tcPr>
          <w:p>
            <w:pPr>
              <w:jc w:val="left"/>
            </w:pPr>
            <w:r>
              <w:rPr>
                <w:b w:val="true"/>
                <w:sz w:val="22"/>
              </w:rPr>
              <w:t>DESCRIPTION</w:t>
            </w:r>
          </w:p>
        </w:tc>
        <w:tc>
          <w:tcPr>
            <w:tcW w:type="right"/>
            <w:shd w:val="clear" w:color="auto" w:fill="8EB4E0"/>
          </w:tcPr>
          <w:p>
            <w:pPr>
              <w:jc w:val="left"/>
            </w:pPr>
            <w:r>
              <w:rPr>
                <w:b w:val="true"/>
                <w:sz w:val="22"/>
              </w:rPr>
              <w:t>STATUS</w:t>
            </w:r>
          </w:p>
        </w:tc>
        <w:tc>
          <w:tcPr>
            <w:tcW w:type="right"/>
            <w:shd w:val="clear" w:color="auto" w:fill="8EB4E0"/>
          </w:tcPr>
          <w:p>
            <w:pPr>
              <w:jc w:val="left"/>
            </w:pPr>
            <w:r>
              <w:rPr>
                <w:b w:val="true"/>
                <w:sz w:val="22"/>
              </w:rPr>
              <w:t>NOTE</w:t>
            </w:r>
          </w:p>
        </w:tc>
      </w:tr>
      <w:tr>
        <w:trPr>
          <w:cantSplit w:val="true"/>
        </w:trPr>
        <w:tc>
          <w:tcPr>
            <w:tcW w:w="2160" w:type="dxa"/>
            <w:noWrap w:val="false"/>
          </w:tcPr>
          <w:p>
            <w:hyperlink r:id="rId7">
              <w:r>
                <w:rPr>
                  <w:rStyle w:val="Hyperlink"/>
                  <w:color w:val="0000FF"/>
                </w:rPr>
                <w:t xml:space="preserve">HF 2513</w:t>
              </w:r>
            </w:hyperlink>
          </w:p>
        </w:tc>
        <w:tc>
          <w:tcPr>
            <w:tcW w:w="3600" w:type="dxa"/>
            <w:noWrap w:val="false"/>
          </w:tcPr>
          <w:p>
            <w:r>
              <w:rPr>
                <w:sz w:val="20"/>
              </w:rPr>
              <w:t>A bill for an act prohibiting institutions of higher education from entering into employment contracts with citizens of federally designated foreign adversaries and state sponsors of terrorism holding certain visas. (Formerly HSB 536.)</w:t>
            </w:r>
          </w:p>
        </w:tc>
        <w:tc>
          <w:tcPr>
            <w:tcW w:w="4320" w:type="dxa"/>
            <w:noWrap w:val="false"/>
          </w:tcPr>
          <w:p>
            <w:r>
              <w:rPr>
                <w:sz w:val="20"/>
              </w:rPr>
              <w:t>Placed on calendar under unfinished business. (3/26/26)</w:t>
            </w:r>
            <w:br/>
            <w:r>
              <w:rPr>
                <w:sz w:val="20"/>
              </w:rPr>
              <w:t>Passed House , yeas 68, nays 27. (3/3/26)</w:t>
            </w:r>
          </w:p>
        </w:tc>
        <w:tc>
          <w:tcPr>
            <w:tcW w:w="4320" w:type="dxa"/>
            <w:noWrap w:val="false"/>
          </w:tcPr>
          <w:p>
            <w:pPr>
              <w:spacing w:before="0" w:after="0"/>
            </w:pPr>
            <w:r>
              <w:t>Oppose/Against</w:t>
            </w:r>
          </w:p>
        </w:tc>
      </w:tr>
      <w:tr>
        <w:trPr>
          <w:cantSplit w:val="true"/>
        </w:trPr>
        <w:tc>
          <w:tcPr>
            <w:tcW w:w="2160" w:type="dxa"/>
            <w:noWrap w:val="false"/>
          </w:tcPr>
          <w:p>
            <w:hyperlink r:id="rId8">
              <w:r>
                <w:rPr>
                  <w:rStyle w:val="Hyperlink"/>
                  <w:color w:val="0000FF"/>
                </w:rPr>
                <w:t xml:space="preserve">HF 2608</w:t>
              </w:r>
            </w:hyperlink>
          </w:p>
        </w:tc>
        <w:tc>
          <w:tcPr>
            <w:tcW w:w="3600" w:type="dxa"/>
            <w:noWrap w:val="false"/>
          </w:tcPr>
          <w:p>
            <w:r>
              <w:rPr>
                <w:sz w:val="20"/>
              </w:rPr>
              <w:t>A bill for an act relating to qualifications for certain rights and privileges prescribed by the state, including state employment, professional licensure, voter registration, and bail, and making penalties applicable.(Formerly HSB 663.)</w:t>
            </w:r>
          </w:p>
        </w:tc>
        <w:tc>
          <w:tcPr>
            <w:tcW w:w="4320" w:type="dxa"/>
            <w:noWrap w:val="false"/>
          </w:tcPr>
          <w:p>
            <w:r>
              <w:rPr>
                <w:sz w:val="20"/>
              </w:rPr>
              <w:t>Placed on calendar under unfinished business. (3/19/26)</w:t>
            </w:r>
          </w:p>
        </w:tc>
        <w:tc>
          <w:tcPr>
            <w:tcW w:w="4320" w:type="dxa"/>
            <w:noWrap w:val="false"/>
          </w:tcPr>
          <w:p>
            <w:pPr>
              <w:spacing w:before="0" w:after="0"/>
            </w:pPr>
            <w:r>
              <w:t>Oppose/Against</w:t>
            </w:r>
          </w:p>
        </w:tc>
      </w:tr>
      <w:tr>
        <w:trPr>
          <w:cantSplit w:val="true"/>
        </w:trPr>
        <w:tc>
          <w:tcPr>
            <w:tcW w:w="2160" w:type="dxa"/>
            <w:noWrap w:val="false"/>
          </w:tcPr>
          <w:p>
            <w:hyperlink r:id="rId9">
              <w:r>
                <w:rPr>
                  <w:rStyle w:val="Hyperlink"/>
                  <w:color w:val="0000FF"/>
                </w:rPr>
                <w:t xml:space="preserve">HF 2711</w:t>
              </w:r>
            </w:hyperlink>
          </w:p>
        </w:tc>
        <w:tc>
          <w:tcPr>
            <w:tcW w:w="3600" w:type="dxa"/>
            <w:noWrap w:val="false"/>
          </w:tcPr>
          <w:p>
            <w:r>
              <w:rPr>
                <w:sz w:val="20"/>
              </w:rPr>
              <w:t>A bill for an act relating to state policies and programs with race or gender requirements.  (Formerly HSB 668.) Effective date: 07/01/2026.</w:t>
            </w:r>
          </w:p>
        </w:tc>
        <w:tc>
          <w:tcPr>
            <w:tcW w:w="4320" w:type="dxa"/>
            <w:noWrap w:val="false"/>
          </w:tcPr>
          <w:p>
            <w:r>
              <w:rPr>
                <w:sz w:val="20"/>
              </w:rPr>
              <w:t>Reported correctly enrolled, signed by Speaker and President, and sent to Governor. (5/6/26)</w:t>
            </w:r>
            <w:br/>
            <w:r>
              <w:rPr>
                <w:sz w:val="20"/>
              </w:rPr>
              <w:t>Passed House , yeas 64, nays 29. (3/4/26)</w:t>
            </w:r>
            <w:br/>
            <w:r>
              <w:rPr>
                <w:sz w:val="20"/>
              </w:rPr>
              <w:t>Passed Senate , yeas 31, nays 15. (4/29/26)</w:t>
            </w:r>
          </w:p>
        </w:tc>
        <w:tc>
          <w:tcPr>
            <w:tcW w:w="4320" w:type="dxa"/>
            <w:noWrap w:val="false"/>
          </w:tcPr>
          <w:p>
            <w:pPr>
              <w:spacing w:before="0" w:after="0"/>
            </w:pPr>
            <w:r>
              <w:t>Oppose/Against</w:t>
            </w:r>
          </w:p>
          <w:p>
            <w:pPr>
              <w:spacing w:before="0" w:after="0"/>
            </w:pPr>
            <w:r>
              <w:t>The proposal strikes current provisions regarding affirmative action and policy practices of local and state government. Everyone present opposed the legislation, including One Iowa and Iowa Catholic Conference. Both spoke regarding what the previous legislation has to offer and there being no evidence for the need for the elimination of the previous legislation. Bill advanced to keep conversation going for amendment.</w:t>
            </w:r>
          </w:p>
          <w:p>
            <w:pPr>
              <w:spacing w:before="0" w:after="0"/>
            </w:pPr>
            <w:r>
              <w:t/>
            </w:r>
          </w:p>
        </w:tc>
      </w:tr>
      <w:tr>
        <w:trPr>
          <w:cantSplit w:val="true"/>
        </w:trPr>
        <w:tc>
          <w:tcPr>
            <w:tcW w:w="2160" w:type="dxa"/>
            <w:noWrap w:val="false"/>
          </w:tcPr>
          <w:p>
            <w:hyperlink r:id="rId10">
              <w:r>
                <w:rPr>
                  <w:rStyle w:val="Hyperlink"/>
                  <w:color w:val="0000FF"/>
                </w:rPr>
                <w:t xml:space="preserve">HF 2750</w:t>
              </w:r>
            </w:hyperlink>
          </w:p>
        </w:tc>
        <w:tc>
          <w:tcPr>
            <w:tcW w:w="3600" w:type="dxa"/>
            <w:noWrap w:val="false"/>
          </w:tcPr>
          <w:p>
            <w:r>
              <w:rPr>
                <w:sz w:val="20"/>
              </w:rPr>
              <w:t>A bill for an act relating to the collection and distribution of fees for wire transmissions, the establishment of the school security grant program, and including contingent effective date provisions. (Formerly HF 601.)</w:t>
            </w:r>
          </w:p>
        </w:tc>
        <w:tc>
          <w:tcPr>
            <w:tcW w:w="4320" w:type="dxa"/>
            <w:noWrap w:val="false"/>
          </w:tcPr>
          <w:p>
            <w:r>
              <w:rPr>
                <w:sz w:val="20"/>
              </w:rPr>
              <w:t>Fiscal Note. (4/22/26)</w:t>
            </w:r>
            <w:br/>
            <w:r>
              <w:rPr>
                <w:sz w:val="20"/>
              </w:rPr>
              <w:t>Passed House , yeas 60, nays 32. (4/8/26)</w:t>
            </w:r>
          </w:p>
        </w:tc>
        <w:tc>
          <w:tcPr>
            <w:tcW w:w="4320" w:type="dxa"/>
            <w:noWrap w:val="false"/>
          </w:tcPr>
          <w:p>
            <w:pPr>
              <w:spacing w:before="0" w:after="0"/>
            </w:pPr>
            <w:r>
              <w:t/>
            </w:r>
          </w:p>
        </w:tc>
      </w:tr>
      <w:tr>
        <w:trPr>
          <w:cantSplit w:val="true"/>
        </w:trPr>
        <w:tc>
          <w:tcPr>
            <w:tcW w:w="2160" w:type="dxa"/>
            <w:noWrap w:val="false"/>
          </w:tcPr>
          <w:p>
            <w:hyperlink r:id="rId11">
              <w:r>
                <w:rPr>
                  <w:rStyle w:val="Hyperlink"/>
                  <w:color w:val="0000FF"/>
                </w:rPr>
                <w:t xml:space="preserve">SF 2218</w:t>
              </w:r>
            </w:hyperlink>
          </w:p>
        </w:tc>
        <w:tc>
          <w:tcPr>
            <w:tcW w:w="3600" w:type="dxa"/>
            <w:noWrap w:val="false"/>
          </w:tcPr>
          <w:p>
            <w:r>
              <w:rPr>
                <w:sz w:val="20"/>
              </w:rPr>
              <w:t>A bill for an act relating to state regulatory compliance and eligibility requirements, including by modifying provisions related to the verification of the identity and employment eligibility of individuals by the board of educational examiners, school districts, accredited nonpublic schools, charter schools, and innovation zone schools; the provision of a false social security number to an employer, prospective employer, or a potential employee; qualifications for employment, professional licensure, voter registration, and bail; making penalties applicable; and including applicability provisions. (Formerly SSB 3015.) Effective date: 07/01/2026. Applicability date: 07/01/2026.</w:t>
            </w:r>
          </w:p>
        </w:tc>
        <w:tc>
          <w:tcPr>
            <w:tcW w:w="4320" w:type="dxa"/>
            <w:noWrap w:val="false"/>
          </w:tcPr>
          <w:p>
            <w:r>
              <w:rPr>
                <w:sz w:val="20"/>
              </w:rPr>
              <w:t>Reported correctly enrolled, signed by President and Speaker, and sent to Governor. (5/18/26)</w:t>
            </w:r>
            <w:br/>
            <w:r>
              <w:rPr>
                <w:sz w:val="20"/>
              </w:rPr>
              <w:t>Passed Senate , yeas 47, nays 0. (2/25/26)</w:t>
            </w:r>
            <w:br/>
            <w:r>
              <w:rPr>
                <w:sz w:val="20"/>
              </w:rPr>
              <w:t>Committee vote: Yeas, 17, nays, 3, excused, 3. (3/11/26)</w:t>
            </w:r>
            <w:br/>
            <w:r>
              <w:rPr>
                <w:sz w:val="20"/>
              </w:rPr>
              <w:t>Passed House , yeas 78, nays 16. (3/17/26)</w:t>
            </w:r>
            <w:br/>
            <w:r>
              <w:rPr>
                <w:sz w:val="20"/>
              </w:rPr>
              <w:t>Passed Senate , yeas 37, nays 10. (4/28/26)</w:t>
            </w:r>
            <w:br/>
            <w:r>
              <w:rPr>
                <w:sz w:val="20"/>
              </w:rPr>
              <w:t>Passed House , yeas 71, nays 20. (4/29/26)</w:t>
            </w:r>
          </w:p>
        </w:tc>
        <w:tc>
          <w:tcPr>
            <w:tcW w:w="4320" w:type="dxa"/>
            <w:noWrap w:val="false"/>
          </w:tcPr>
          <w:p>
            <w:pPr>
              <w:spacing w:before="0" w:after="0"/>
            </w:pPr>
            <w:r>
              <w:t>Oppose/Against</w:t>
            </w:r>
          </w:p>
        </w:tc>
      </w:tr>
      <w:tr>
        <w:trPr>
          <w:cantSplit w:val="true"/>
        </w:trPr>
        <w:tc>
          <w:tcPr>
            <w:tcW w:w="2160" w:type="dxa"/>
            <w:noWrap w:val="false"/>
          </w:tcPr>
          <w:p>
            <w:hyperlink r:id="rId12">
              <w:r>
                <w:rPr>
                  <w:rStyle w:val="Hyperlink"/>
                  <w:color w:val="0000FF"/>
                </w:rPr>
                <w:t xml:space="preserve">SF 2412</w:t>
              </w:r>
            </w:hyperlink>
          </w:p>
        </w:tc>
        <w:tc>
          <w:tcPr>
            <w:tcW w:w="3600" w:type="dxa"/>
            <w:noWrap w:val="false"/>
          </w:tcPr>
          <w:p>
            <w:r>
              <w:rPr>
                <w:sz w:val="20"/>
              </w:rPr>
              <w:t>A bill for an act relating to qualifications for state and local government employment and professional licensure. (Formerly SSB 3169.)</w:t>
            </w:r>
          </w:p>
        </w:tc>
        <w:tc>
          <w:tcPr>
            <w:tcW w:w="4320" w:type="dxa"/>
            <w:noWrap w:val="false"/>
          </w:tcPr>
          <w:p>
            <w:r>
              <w:rPr>
                <w:sz w:val="20"/>
              </w:rPr>
              <w:t>Placed on calendar under unfinished business. (3/19/26)</w:t>
            </w:r>
            <w:br/>
            <w:r>
              <w:rPr>
                <w:sz w:val="20"/>
              </w:rPr>
              <w:t>Passed Senate , yeas 47, nays 0. (2/25/26)</w:t>
            </w:r>
          </w:p>
        </w:tc>
        <w:tc>
          <w:tcPr>
            <w:tcW w:w="4320" w:type="dxa"/>
            <w:noWrap w:val="false"/>
          </w:tcPr>
          <w:p>
            <w:pPr>
              <w:spacing w:before="0" w:after="0"/>
            </w:pPr>
            <w:r>
              <w:t>Oppose/Against</w:t>
            </w:r>
          </w:p>
        </w:tc>
      </w:tr>
    </w:tbl>
    <w:p>
      <w:r>
        <w:rPr>
          <w:sz w:val="24"/>
        </w:rPr>
        <w:t/>
      </w:r>
    </w:p>
    <w:p>
      <w:pPr>
        <w:spacing w:before="0" w:after="0"/>
      </w:pPr>
      <w:r>
        <w:rPr>
          <w:b w:val="true"/>
          <w:sz w:val="36"/>
          <w:u w:val="single"/>
        </w:rPr>
        <w:t>Funneled Bills</w:t>
      </w:r>
    </w:p>
    <w:p>
      <w:r>
        <w:rPr>
          <w:sz w:val="36"/>
        </w:rPr>
        <w:t/>
      </w:r>
    </w:p>
    <w:tbl>
      <w:tblPr>
        <w:tblStyle w:val="TableGri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2160"/>
        <w:gridCol w:w="3600"/>
        <w:gridCol w:w="4320"/>
        <w:gridCol w:w="4320"/>
      </w:tblGrid>
      <w:tr>
        <w:trPr>
          <w:tblHeader w:val="true"/>
          <w:cantSplit w:val="true"/>
        </w:trPr>
        <w:tc>
          <w:tcPr>
            <w:tcW w:w="2160" w:type="dxa"/>
            <w:shd w:val="clear" w:color="auto" w:fill="8EB4E0"/>
          </w:tcPr>
          <w:p>
            <w:pPr>
              <w:jc w:val="left"/>
            </w:pPr>
            <w:r>
              <w:rPr>
                <w:b w:val="true"/>
                <w:sz w:val="22"/>
              </w:rPr>
              <w:t>BILL</w:t>
            </w:r>
          </w:p>
        </w:tc>
        <w:tc>
          <w:tcPr>
            <w:tcW w:type="right"/>
            <w:shd w:val="clear" w:color="auto" w:fill="8EB4E0"/>
          </w:tcPr>
          <w:p>
            <w:pPr>
              <w:jc w:val="left"/>
            </w:pPr>
            <w:r>
              <w:rPr>
                <w:b w:val="true"/>
                <w:sz w:val="22"/>
              </w:rPr>
              <w:t>DESCRIPTION</w:t>
            </w:r>
          </w:p>
        </w:tc>
        <w:tc>
          <w:tcPr>
            <w:tcW w:type="right"/>
            <w:shd w:val="clear" w:color="auto" w:fill="8EB4E0"/>
          </w:tcPr>
          <w:p>
            <w:pPr>
              <w:jc w:val="left"/>
            </w:pPr>
            <w:r>
              <w:rPr>
                <w:b w:val="true"/>
                <w:sz w:val="22"/>
              </w:rPr>
              <w:t>STATUS</w:t>
            </w:r>
          </w:p>
        </w:tc>
        <w:tc>
          <w:tcPr>
            <w:tcW w:type="right"/>
            <w:shd w:val="clear" w:color="auto" w:fill="8EB4E0"/>
          </w:tcPr>
          <w:p>
            <w:pPr>
              <w:jc w:val="left"/>
            </w:pPr>
            <w:r>
              <w:rPr>
                <w:b w:val="true"/>
                <w:sz w:val="22"/>
              </w:rPr>
              <w:t>NOTE</w:t>
            </w:r>
          </w:p>
        </w:tc>
      </w:tr>
      <w:tr>
        <w:trPr>
          <w:cantSplit w:val="true"/>
        </w:trPr>
        <w:tc>
          <w:tcPr>
            <w:tcW w:w="2160" w:type="dxa"/>
            <w:noWrap w:val="false"/>
          </w:tcPr>
          <w:p>
            <w:hyperlink r:id="rId13">
              <w:r>
                <w:rPr>
                  <w:rStyle w:val="Hyperlink"/>
                  <w:color w:val="0000FF"/>
                </w:rPr>
                <w:t xml:space="preserve">HF 2041</w:t>
              </w:r>
            </w:hyperlink>
          </w:p>
          <w:p>
            <w:hyperlink r:id="rId14">
              <w:r>
                <w:rPr>
                  <w:rStyle w:val="Hyperlink"/>
                  <w:color w:val="0000FF"/>
                </w:rPr>
                <w:t xml:space="preserve">CO:SF 2097</w:t>
              </w:r>
            </w:hyperlink>
          </w:p>
        </w:tc>
        <w:tc>
          <w:tcPr>
            <w:tcW w:w="3600" w:type="dxa"/>
            <w:noWrap w:val="false"/>
          </w:tcPr>
          <w:p>
            <w:r>
              <w:rPr>
                <w:sz w:val="20"/>
              </w:rPr>
              <w:t>A bill for an act relating to state law enforcement cooperation with federal immigration and customs enforcement.</w:t>
            </w:r>
          </w:p>
        </w:tc>
        <w:tc>
          <w:tcPr>
            <w:tcW w:w="4320" w:type="dxa"/>
            <w:shd w:val="clear" w:color="auto" w:fill="FF8080" w:themeFillTint="30"/>
            <w:noWrap w:val="false"/>
          </w:tcPr>
          <w:p>
            <w:r>
              <w:rPr>
                <w:sz w:val="20"/>
              </w:rPr>
              <w:t>Subcommittee Meeting: 01/28/2026 12:00PM RM 103 (Cancelled). (1/26/26)</w:t>
            </w:r>
          </w:p>
        </w:tc>
        <w:tc>
          <w:tcPr>
            <w:tcW w:w="4320" w:type="dxa"/>
            <w:noWrap w:val="false"/>
          </w:tcPr>
          <w:p>
            <w:pPr>
              <w:spacing w:before="0" w:after="0"/>
            </w:pPr>
            <w:r>
              <w:t>Oppose/Against</w:t>
            </w:r>
          </w:p>
        </w:tc>
      </w:tr>
      <w:tr>
        <w:trPr>
          <w:cantSplit w:val="true"/>
        </w:trPr>
        <w:tc>
          <w:tcPr>
            <w:tcW w:w="2160" w:type="dxa"/>
            <w:noWrap w:val="false"/>
          </w:tcPr>
          <w:p>
            <w:hyperlink r:id="rId15">
              <w:r>
                <w:rPr>
                  <w:rStyle w:val="Hyperlink"/>
                  <w:color w:val="0000FF"/>
                </w:rPr>
                <w:t xml:space="preserve">SF 2097</w:t>
              </w:r>
            </w:hyperlink>
          </w:p>
          <w:p>
            <w:hyperlink r:id="rId16">
              <w:r>
                <w:rPr>
                  <w:rStyle w:val="Hyperlink"/>
                  <w:color w:val="0000FF"/>
                </w:rPr>
                <w:t xml:space="preserve">CO:HF 2041</w:t>
              </w:r>
            </w:hyperlink>
          </w:p>
        </w:tc>
        <w:tc>
          <w:tcPr>
            <w:tcW w:w="3600" w:type="dxa"/>
            <w:noWrap w:val="false"/>
          </w:tcPr>
          <w:p>
            <w:r>
              <w:rPr>
                <w:sz w:val="20"/>
              </w:rPr>
              <w:t>A bill for an act relating to state law enforcement cooperation with federal immigration and customs enforcement.</w:t>
            </w:r>
          </w:p>
        </w:tc>
        <w:tc>
          <w:tcPr>
            <w:tcW w:w="4320" w:type="dxa"/>
            <w:shd w:val="clear" w:color="auto" w:fill="FF8080" w:themeFillTint="30"/>
            <w:noWrap w:val="false"/>
          </w:tcPr>
          <w:p>
            <w:r>
              <w:rPr>
                <w:sz w:val="20"/>
              </w:rPr>
              <w:t>Subcommittee: Schultz, Bousselot, and Knox. (1/28/26)</w:t>
            </w:r>
          </w:p>
        </w:tc>
        <w:tc>
          <w:tcPr>
            <w:tcW w:w="4320" w:type="dxa"/>
            <w:noWrap w:val="false"/>
          </w:tcPr>
          <w:p>
            <w:pPr>
              <w:spacing w:before="0" w:after="0"/>
            </w:pPr>
            <w:r>
              <w:t>Oppose/Against</w:t>
            </w:r>
          </w:p>
        </w:tc>
      </w:tr>
      <w:tr>
        <w:trPr>
          <w:cantSplit w:val="true"/>
        </w:trPr>
        <w:tc>
          <w:tcPr>
            <w:tcW w:w="2160" w:type="dxa"/>
            <w:noWrap w:val="false"/>
          </w:tcPr>
          <w:p>
            <w:hyperlink r:id="rId17">
              <w:r>
                <w:rPr>
                  <w:rStyle w:val="Hyperlink"/>
                  <w:color w:val="0000FF"/>
                </w:rPr>
                <w:t xml:space="preserve">HF 2100</w:t>
              </w:r>
            </w:hyperlink>
          </w:p>
        </w:tc>
        <w:tc>
          <w:tcPr>
            <w:tcW w:w="3600" w:type="dxa"/>
            <w:noWrap w:val="false"/>
          </w:tcPr>
          <w:p>
            <w:r>
              <w:rPr>
                <w:sz w:val="20"/>
              </w:rPr>
              <w:t>A bill for an act prohibiting the use of a language other than English for commercial driver's license examinations.</w:t>
            </w:r>
          </w:p>
        </w:tc>
        <w:tc>
          <w:tcPr>
            <w:tcW w:w="4320" w:type="dxa"/>
            <w:shd w:val="clear" w:color="auto" w:fill="FF8080" w:themeFillTint="30"/>
            <w:noWrap w:val="false"/>
          </w:tcPr>
          <w:p>
            <w:r>
              <w:rPr>
                <w:sz w:val="20"/>
              </w:rPr>
              <w:t>Introduced, referred to Transportation. (1/15/26)</w:t>
            </w:r>
          </w:p>
        </w:tc>
        <w:tc>
          <w:tcPr>
            <w:tcW w:w="4320" w:type="dxa"/>
            <w:noWrap w:val="false"/>
          </w:tcPr>
          <w:p>
            <w:pPr>
              <w:spacing w:before="0" w:after="0"/>
            </w:pPr>
            <w:r>
              <w:t>Oppose/Against</w:t>
            </w:r>
          </w:p>
        </w:tc>
      </w:tr>
      <w:tr>
        <w:trPr>
          <w:cantSplit w:val="true"/>
        </w:trPr>
        <w:tc>
          <w:tcPr>
            <w:tcW w:w="2160" w:type="dxa"/>
            <w:noWrap w:val="false"/>
          </w:tcPr>
          <w:p>
            <w:hyperlink r:id="rId18">
              <w:r>
                <w:rPr>
                  <w:rStyle w:val="Hyperlink"/>
                  <w:color w:val="0000FF"/>
                </w:rPr>
                <w:t xml:space="preserve">HF 2101</w:t>
              </w:r>
            </w:hyperlink>
          </w:p>
        </w:tc>
        <w:tc>
          <w:tcPr>
            <w:tcW w:w="3600" w:type="dxa"/>
            <w:noWrap w:val="false"/>
          </w:tcPr>
          <w:p>
            <w:r>
              <w:rPr>
                <w:sz w:val="20"/>
              </w:rPr>
              <w:t>A bill for an act prohibiting the use of a language other than English for class C commercial driver's license examinations.</w:t>
            </w:r>
          </w:p>
        </w:tc>
        <w:tc>
          <w:tcPr>
            <w:tcW w:w="4320" w:type="dxa"/>
            <w:shd w:val="clear" w:color="auto" w:fill="FF8080" w:themeFillTint="30"/>
            <w:noWrap w:val="false"/>
          </w:tcPr>
          <w:p>
            <w:r>
              <w:rPr>
                <w:sz w:val="20"/>
              </w:rPr>
              <w:t>Introduced, referred to Transportation. (1/15/26)</w:t>
            </w:r>
          </w:p>
        </w:tc>
        <w:tc>
          <w:tcPr>
            <w:tcW w:w="4320" w:type="dxa"/>
            <w:noWrap w:val="false"/>
          </w:tcPr>
          <w:p>
            <w:pPr>
              <w:spacing w:before="0" w:after="0"/>
            </w:pPr>
            <w:r>
              <w:t>Oppose/Against</w:t>
            </w:r>
          </w:p>
        </w:tc>
      </w:tr>
      <w:tr>
        <w:trPr>
          <w:cantSplit w:val="true"/>
        </w:trPr>
        <w:tc>
          <w:tcPr>
            <w:tcW w:w="2160" w:type="dxa"/>
            <w:noWrap w:val="false"/>
          </w:tcPr>
          <w:p>
            <w:hyperlink r:id="rId19">
              <w:r>
                <w:rPr>
                  <w:rStyle w:val="Hyperlink"/>
                  <w:color w:val="0000FF"/>
                </w:rPr>
                <w:t xml:space="preserve">HF 2102</w:t>
              </w:r>
            </w:hyperlink>
          </w:p>
        </w:tc>
        <w:tc>
          <w:tcPr>
            <w:tcW w:w="3600" w:type="dxa"/>
            <w:noWrap w:val="false"/>
          </w:tcPr>
          <w:p>
            <w:r>
              <w:rPr>
                <w:sz w:val="20"/>
              </w:rPr>
              <w:t>A bill for an act prohibiting the use of a language other than English for driver's license examinations.</w:t>
            </w:r>
          </w:p>
        </w:tc>
        <w:tc>
          <w:tcPr>
            <w:tcW w:w="4320" w:type="dxa"/>
            <w:shd w:val="clear" w:color="auto" w:fill="FF8080" w:themeFillTint="30"/>
            <w:noWrap w:val="false"/>
          </w:tcPr>
          <w:p>
            <w:r>
              <w:rPr>
                <w:sz w:val="20"/>
              </w:rPr>
              <w:t>Subcommittee recommends passage. (3/12/26)</w:t>
            </w:r>
          </w:p>
        </w:tc>
        <w:tc>
          <w:tcPr>
            <w:tcW w:w="4320" w:type="dxa"/>
            <w:noWrap w:val="false"/>
          </w:tcPr>
          <w:p>
            <w:pPr>
              <w:spacing w:before="0" w:after="0"/>
            </w:pPr>
            <w:r>
              <w:t>Oppose/Against</w:t>
            </w:r>
          </w:p>
          <w:p>
            <w:pPr>
              <w:spacing w:before="0" w:after="0"/>
            </w:pPr>
            <w:r>
              <w:t>Along with Connie, we discussed the the concerns about this not being a public safety issues. We also brought up how this will be a significant drain on Iowa's economy when people can't get to work if they can't pass a driver's exam. They appreiciated the insights on the concerns but passed the bill on a 2-1 vote.</w:t>
            </w:r>
          </w:p>
          <w:p>
            <w:pPr>
              <w:spacing w:before="0" w:after="0"/>
            </w:pPr>
            <w:r>
              <w:t/>
            </w:r>
          </w:p>
        </w:tc>
      </w:tr>
      <w:tr>
        <w:trPr>
          <w:cantSplit w:val="true"/>
        </w:trPr>
        <w:tc>
          <w:tcPr>
            <w:tcW w:w="2160" w:type="dxa"/>
            <w:noWrap w:val="false"/>
          </w:tcPr>
          <w:p>
            <w:hyperlink r:id="rId20">
              <w:r>
                <w:rPr>
                  <w:rStyle w:val="Hyperlink"/>
                  <w:color w:val="0000FF"/>
                </w:rPr>
                <w:t xml:space="preserve">HF 2108</w:t>
              </w:r>
            </w:hyperlink>
          </w:p>
        </w:tc>
        <w:tc>
          <w:tcPr>
            <w:tcW w:w="3600" w:type="dxa"/>
            <w:noWrap w:val="false"/>
          </w:tcPr>
          <w:p>
            <w:r>
              <w:rPr>
                <w:sz w:val="20"/>
              </w:rPr>
              <w:t>A bill for an act relating to discipline for nurses unable to speak English proficiently.</w:t>
            </w:r>
          </w:p>
        </w:tc>
        <w:tc>
          <w:tcPr>
            <w:tcW w:w="4320" w:type="dxa"/>
            <w:shd w:val="clear" w:color="auto" w:fill="FF8080" w:themeFillTint="30"/>
            <w:noWrap w:val="false"/>
          </w:tcPr>
          <w:p>
            <w:r>
              <w:rPr>
                <w:sz w:val="20"/>
              </w:rPr>
              <w:t>Tabled until future meeting. (2/12/26)</w:t>
            </w:r>
          </w:p>
        </w:tc>
        <w:tc>
          <w:tcPr>
            <w:tcW w:w="4320" w:type="dxa"/>
            <w:noWrap w:val="false"/>
          </w:tcPr>
          <w:p>
            <w:pPr>
              <w:spacing w:before="0" w:after="0"/>
            </w:pPr>
            <w:r>
              <w:t>Oppose/Against</w:t>
            </w:r>
          </w:p>
          <w:p>
            <w:pPr>
              <w:spacing w:before="0" w:after="0"/>
            </w:pPr>
            <w:r>
              <w:t>the bill was brought by rep. boden. along with the nurses assoc. and the AFL, we opposed the bill noting a proficientcy test is already required in IOwa, but not in every state like Florida and CA - where they have a greater workforce need, this is a workforce and healthcare access issue if they further implement these punitive measures. rep. ingels said he had no intent to move the bill and rep wilburn talked about how this only addresses speaking and makes no considerations for those who are hearing impared, etc. the bill did not move.</w:t>
            </w:r>
          </w:p>
          <w:p>
            <w:pPr>
              <w:spacing w:before="0" w:after="0"/>
            </w:pPr>
            <w:r>
              <w:t/>
            </w:r>
          </w:p>
        </w:tc>
      </w:tr>
      <w:tr>
        <w:trPr>
          <w:cantSplit w:val="true"/>
        </w:trPr>
        <w:tc>
          <w:tcPr>
            <w:tcW w:w="2160" w:type="dxa"/>
            <w:noWrap w:val="false"/>
          </w:tcPr>
          <w:p>
            <w:hyperlink r:id="rId21">
              <w:r>
                <w:rPr>
                  <w:rStyle w:val="Hyperlink"/>
                  <w:color w:val="0000FF"/>
                </w:rPr>
                <w:t xml:space="preserve">HF 2110</w:t>
              </w:r>
            </w:hyperlink>
          </w:p>
          <w:p>
            <w:hyperlink r:id="rId22">
              <w:r>
                <w:rPr>
                  <w:rStyle w:val="Hyperlink"/>
                  <w:color w:val="0000FF"/>
                </w:rPr>
                <w:t xml:space="preserve">CO:SF 2052</w:t>
              </w:r>
            </w:hyperlink>
          </w:p>
        </w:tc>
        <w:tc>
          <w:tcPr>
            <w:tcW w:w="3600" w:type="dxa"/>
            <w:noWrap w:val="false"/>
          </w:tcPr>
          <w:p>
            <w:r>
              <w:rPr>
                <w:sz w:val="20"/>
              </w:rPr>
              <w:t>A bill for an act relating to the issuance of driver's licenses and nonoperator's identification cards, including physical forms of such identification and noncompliance with federal requirements.</w:t>
            </w:r>
          </w:p>
        </w:tc>
        <w:tc>
          <w:tcPr>
            <w:tcW w:w="4320" w:type="dxa"/>
            <w:shd w:val="clear" w:color="auto" w:fill="FF8080" w:themeFillTint="30"/>
            <w:noWrap w:val="false"/>
          </w:tcPr>
          <w:p>
            <w:r>
              <w:rPr>
                <w:sz w:val="20"/>
              </w:rPr>
              <w:t>Subcommittee: Young, Madison and Williams. (1/30/26)</w:t>
            </w:r>
          </w:p>
        </w:tc>
        <w:tc>
          <w:tcPr>
            <w:tcW w:w="4320" w:type="dxa"/>
            <w:noWrap w:val="false"/>
          </w:tcPr>
          <w:p>
            <w:pPr>
              <w:spacing w:before="0" w:after="0"/>
            </w:pPr>
            <w:r>
              <w:t>Track (no public position, but follow it)</w:t>
            </w:r>
          </w:p>
        </w:tc>
      </w:tr>
      <w:tr>
        <w:trPr>
          <w:cantSplit w:val="true"/>
        </w:trPr>
        <w:tc>
          <w:tcPr>
            <w:tcW w:w="2160" w:type="dxa"/>
            <w:noWrap w:val="false"/>
          </w:tcPr>
          <w:p>
            <w:hyperlink r:id="rId23">
              <w:r>
                <w:rPr>
                  <w:rStyle w:val="Hyperlink"/>
                  <w:color w:val="0000FF"/>
                </w:rPr>
                <w:t xml:space="preserve">SF 2052</w:t>
              </w:r>
            </w:hyperlink>
          </w:p>
          <w:p>
            <w:hyperlink r:id="rId24">
              <w:r>
                <w:rPr>
                  <w:rStyle w:val="Hyperlink"/>
                  <w:color w:val="0000FF"/>
                </w:rPr>
                <w:t xml:space="preserve">CO:HF 2110</w:t>
              </w:r>
            </w:hyperlink>
          </w:p>
        </w:tc>
        <w:tc>
          <w:tcPr>
            <w:tcW w:w="3600" w:type="dxa"/>
            <w:noWrap w:val="false"/>
          </w:tcPr>
          <w:p>
            <w:r>
              <w:rPr>
                <w:sz w:val="20"/>
              </w:rPr>
              <w:t>A bill for an act relating to the issuance of driver's licenses and nonoperator's identification cards, including physical forms of such identification and noncompliance with federal requirements.</w:t>
            </w:r>
          </w:p>
        </w:tc>
        <w:tc>
          <w:tcPr>
            <w:tcW w:w="4320" w:type="dxa"/>
            <w:shd w:val="clear" w:color="auto" w:fill="FF8080" w:themeFillTint="30"/>
            <w:noWrap w:val="false"/>
          </w:tcPr>
          <w:p>
            <w:r>
              <w:rPr>
                <w:sz w:val="20"/>
              </w:rPr>
              <w:t>Subcommittee: Kraayenbrink, Townsend, and Zumbach. (1/15/26)</w:t>
            </w:r>
          </w:p>
        </w:tc>
        <w:tc>
          <w:tcPr>
            <w:tcW w:w="4320" w:type="dxa"/>
            <w:noWrap w:val="false"/>
          </w:tcPr>
          <w:p>
            <w:pPr>
              <w:spacing w:before="0" w:after="0"/>
            </w:pPr>
            <w:r>
              <w:t>Track (no public position, but follow it)</w:t>
            </w:r>
          </w:p>
        </w:tc>
      </w:tr>
      <w:tr>
        <w:trPr>
          <w:cantSplit w:val="true"/>
        </w:trPr>
        <w:tc>
          <w:tcPr>
            <w:tcW w:w="2160" w:type="dxa"/>
            <w:noWrap w:val="false"/>
          </w:tcPr>
          <w:p>
            <w:hyperlink r:id="rId25">
              <w:r>
                <w:rPr>
                  <w:rStyle w:val="Hyperlink"/>
                  <w:color w:val="0000FF"/>
                </w:rPr>
                <w:t xml:space="preserve">HF 2168</w:t>
              </w:r>
            </w:hyperlink>
          </w:p>
        </w:tc>
        <w:tc>
          <w:tcPr>
            <w:tcW w:w="3600" w:type="dxa"/>
            <w:noWrap w:val="false"/>
          </w:tcPr>
          <w:p>
            <w:r>
              <w:rPr>
                <w:sz w:val="20"/>
              </w:rPr>
              <w:t>A bill for an act creating a state remittance tax and including applicability provisions.</w:t>
            </w:r>
          </w:p>
        </w:tc>
        <w:tc>
          <w:tcPr>
            <w:tcW w:w="4320" w:type="dxa"/>
            <w:shd w:val="clear" w:color="auto" w:fill="FF8080" w:themeFillTint="30"/>
            <w:noWrap w:val="false"/>
          </w:tcPr>
          <w:p>
            <w:r>
              <w:rPr>
                <w:sz w:val="20"/>
              </w:rPr>
              <w:t>Introduced, referred to Commerce. (1/27/26)</w:t>
            </w:r>
          </w:p>
        </w:tc>
        <w:tc>
          <w:tcPr>
            <w:tcW w:w="4320" w:type="dxa"/>
            <w:noWrap w:val="false"/>
          </w:tcPr>
          <w:p>
            <w:pPr>
              <w:spacing w:before="0" w:after="0"/>
            </w:pPr>
            <w:r>
              <w:t>Oppose/Against</w:t>
            </w:r>
          </w:p>
        </w:tc>
      </w:tr>
      <w:tr>
        <w:trPr>
          <w:cantSplit w:val="true"/>
        </w:trPr>
        <w:tc>
          <w:tcPr>
            <w:tcW w:w="2160" w:type="dxa"/>
            <w:noWrap w:val="false"/>
          </w:tcPr>
          <w:p>
            <w:hyperlink r:id="rId26">
              <w:r>
                <w:rPr>
                  <w:rStyle w:val="Hyperlink"/>
                  <w:color w:val="0000FF"/>
                </w:rPr>
                <w:t xml:space="preserve">HF 2397</w:t>
              </w:r>
            </w:hyperlink>
          </w:p>
        </w:tc>
        <w:tc>
          <w:tcPr>
            <w:tcW w:w="3600" w:type="dxa"/>
            <w:noWrap w:val="false"/>
          </w:tcPr>
          <w:p>
            <w:r>
              <w:rPr>
                <w:sz w:val="20"/>
              </w:rPr>
              <w:t>A bill for an act relating to actions of United States immigration and customs enforcement.</w:t>
            </w:r>
          </w:p>
        </w:tc>
        <w:tc>
          <w:tcPr>
            <w:tcW w:w="4320" w:type="dxa"/>
            <w:shd w:val="clear" w:color="auto" w:fill="FF8080" w:themeFillTint="30"/>
            <w:noWrap w:val="false"/>
          </w:tcPr>
          <w:p>
            <w:r>
              <w:rPr>
                <w:sz w:val="20"/>
              </w:rPr>
              <w:t>Introduced, referred to Judiciary. (2/11/26)</w:t>
            </w:r>
          </w:p>
        </w:tc>
        <w:tc>
          <w:tcPr>
            <w:tcW w:w="4320" w:type="dxa"/>
            <w:noWrap w:val="false"/>
          </w:tcPr>
          <w:p>
            <w:pPr>
              <w:spacing w:before="0" w:after="0"/>
            </w:pPr>
            <w:r>
              <w:t>Support/For</w:t>
            </w:r>
          </w:p>
        </w:tc>
      </w:tr>
      <w:tr>
        <w:trPr>
          <w:cantSplit w:val="true"/>
        </w:trPr>
        <w:tc>
          <w:tcPr>
            <w:tcW w:w="2160" w:type="dxa"/>
            <w:noWrap w:val="false"/>
          </w:tcPr>
          <w:p>
            <w:hyperlink r:id="rId27">
              <w:r>
                <w:rPr>
                  <w:rStyle w:val="Hyperlink"/>
                  <w:color w:val="0000FF"/>
                </w:rPr>
                <w:t xml:space="preserve">HF 2407</w:t>
              </w:r>
            </w:hyperlink>
          </w:p>
        </w:tc>
        <w:tc>
          <w:tcPr>
            <w:tcW w:w="3600" w:type="dxa"/>
            <w:noWrap w:val="false"/>
          </w:tcPr>
          <w:p>
            <w:r>
              <w:rPr>
                <w:sz w:val="20"/>
              </w:rPr>
              <w:t>A bill for an act relating to civil remedies for deprivation of constitutional rights; immigration enforcement limitations in hospitals, licensed child care centers, and public institutions of higher education; and protections against civil arrest at courthouses; and including effective date provisions.</w:t>
            </w:r>
          </w:p>
        </w:tc>
        <w:tc>
          <w:tcPr>
            <w:tcW w:w="4320" w:type="dxa"/>
            <w:shd w:val="clear" w:color="auto" w:fill="FF8080" w:themeFillTint="30"/>
            <w:noWrap w:val="false"/>
          </w:tcPr>
          <w:p>
            <w:r>
              <w:rPr>
                <w:sz w:val="20"/>
              </w:rPr>
              <w:t>Introduced, referred to Judiciary. (2/11/26)</w:t>
            </w:r>
          </w:p>
        </w:tc>
        <w:tc>
          <w:tcPr>
            <w:tcW w:w="4320" w:type="dxa"/>
            <w:noWrap w:val="false"/>
          </w:tcPr>
          <w:p>
            <w:pPr>
              <w:spacing w:before="0" w:after="0"/>
            </w:pPr>
            <w:r>
              <w:t>Support/For</w:t>
            </w:r>
          </w:p>
        </w:tc>
      </w:tr>
      <w:tr>
        <w:trPr>
          <w:cantSplit w:val="true"/>
        </w:trPr>
        <w:tc>
          <w:tcPr>
            <w:tcW w:w="2160" w:type="dxa"/>
            <w:noWrap w:val="false"/>
          </w:tcPr>
          <w:p>
            <w:hyperlink r:id="rId28">
              <w:r>
                <w:rPr>
                  <w:rStyle w:val="Hyperlink"/>
                  <w:color w:val="0000FF"/>
                </w:rPr>
                <w:t xml:space="preserve">HF 2477</w:t>
              </w:r>
            </w:hyperlink>
          </w:p>
        </w:tc>
        <w:tc>
          <w:tcPr>
            <w:tcW w:w="3600" w:type="dxa"/>
            <w:noWrap w:val="false"/>
          </w:tcPr>
          <w:p>
            <w:r>
              <w:rPr>
                <w:sz w:val="20"/>
              </w:rPr>
              <w:t>A bill for an act relating to English language proficiency requirements for commercial drivers and commercial carriers, providing penalties, and making penalties applicable.</w:t>
            </w:r>
          </w:p>
        </w:tc>
        <w:tc>
          <w:tcPr>
            <w:tcW w:w="4320" w:type="dxa"/>
            <w:shd w:val="clear" w:color="auto" w:fill="FF8080" w:themeFillTint="30"/>
            <w:noWrap w:val="false"/>
          </w:tcPr>
          <w:p>
            <w:r>
              <w:rPr>
                <w:sz w:val="20"/>
              </w:rPr>
              <w:t>Introduced, referred to Transportation. (2/16/26)</w:t>
            </w:r>
          </w:p>
        </w:tc>
        <w:tc>
          <w:tcPr>
            <w:tcW w:w="4320" w:type="dxa"/>
            <w:noWrap w:val="false"/>
          </w:tcPr>
          <w:p>
            <w:pPr>
              <w:spacing w:before="0" w:after="0"/>
            </w:pPr>
            <w:r>
              <w:t>Oppose/Against</w:t>
            </w:r>
          </w:p>
        </w:tc>
      </w:tr>
      <w:tr>
        <w:trPr>
          <w:cantSplit w:val="true"/>
        </w:trPr>
        <w:tc>
          <w:tcPr>
            <w:tcW w:w="2160" w:type="dxa"/>
            <w:noWrap w:val="false"/>
          </w:tcPr>
          <w:p>
            <w:hyperlink r:id="rId29">
              <w:r>
                <w:rPr>
                  <w:rStyle w:val="Hyperlink"/>
                  <w:color w:val="0000FF"/>
                </w:rPr>
                <w:t xml:space="preserve">HF 2541</w:t>
              </w:r>
            </w:hyperlink>
          </w:p>
        </w:tc>
        <w:tc>
          <w:tcPr>
            <w:tcW w:w="3600" w:type="dxa"/>
            <w:noWrap w:val="false"/>
          </w:tcPr>
          <w:p>
            <w:r>
              <w:rPr>
                <w:sz w:val="20"/>
              </w:rPr>
              <w:t>A bill for an act relating to local laws implementing the Iowa civil rights Act of 1965.(Formerly HSB 664.)</w:t>
            </w:r>
          </w:p>
        </w:tc>
        <w:tc>
          <w:tcPr>
            <w:tcW w:w="4320" w:type="dxa"/>
            <w:shd w:val="clear" w:color="auto" w:fill="FF8080" w:themeFillTint="30"/>
            <w:noWrap w:val="false"/>
          </w:tcPr>
          <w:p>
            <w:r>
              <w:rPr>
                <w:sz w:val="20"/>
              </w:rPr>
              <w:t>Introduced, placed on calendar. (2/16/26)</w:t>
            </w:r>
          </w:p>
        </w:tc>
        <w:tc>
          <w:tcPr>
            <w:tcW w:w="4320" w:type="dxa"/>
            <w:noWrap w:val="false"/>
          </w:tcPr>
          <w:p>
            <w:pPr>
              <w:spacing w:before="0" w:after="0"/>
            </w:pPr>
            <w:r>
              <w:t>Oppose/Against</w:t>
            </w:r>
          </w:p>
        </w:tc>
      </w:tr>
      <w:tr>
        <w:trPr>
          <w:cantSplit w:val="true"/>
        </w:trPr>
        <w:tc>
          <w:tcPr>
            <w:tcW w:w="2160" w:type="dxa"/>
            <w:noWrap w:val="false"/>
          </w:tcPr>
          <w:p>
            <w:hyperlink r:id="rId30">
              <w:r>
                <w:rPr>
                  <w:rStyle w:val="Hyperlink"/>
                  <w:color w:val="0000FF"/>
                </w:rPr>
                <w:t xml:space="preserve">HF 2565</w:t>
              </w:r>
            </w:hyperlink>
          </w:p>
        </w:tc>
        <w:tc>
          <w:tcPr>
            <w:tcW w:w="3600" w:type="dxa"/>
            <w:noWrap w:val="false"/>
          </w:tcPr>
          <w:p>
            <w:r>
              <w:rPr>
                <w:sz w:val="20"/>
              </w:rPr>
              <w:t>A bill for an act establishing a human trafficking investigative task force.(Formerly HF 1011, HF 831, HF 463.)</w:t>
            </w:r>
          </w:p>
        </w:tc>
        <w:tc>
          <w:tcPr>
            <w:tcW w:w="4320" w:type="dxa"/>
            <w:shd w:val="clear" w:color="auto" w:fill="FF8080" w:themeFillTint="30"/>
            <w:noWrap w:val="false"/>
          </w:tcPr>
          <w:p>
            <w:r>
              <w:rPr>
                <w:sz w:val="20"/>
              </w:rPr>
              <w:t>Subcommittee: Schultz, Blake, and Bousselot. (3/3/26)</w:t>
            </w:r>
          </w:p>
        </w:tc>
        <w:tc>
          <w:tcPr>
            <w:tcW w:w="4320" w:type="dxa"/>
            <w:noWrap w:val="false"/>
          </w:tcPr>
          <w:p>
            <w:pPr>
              <w:spacing w:before="0" w:after="0"/>
            </w:pPr>
            <w:r>
              <w:t/>
            </w:r>
          </w:p>
        </w:tc>
      </w:tr>
      <w:tr>
        <w:trPr>
          <w:cantSplit w:val="true"/>
        </w:trPr>
        <w:tc>
          <w:tcPr>
            <w:tcW w:w="2160" w:type="dxa"/>
            <w:noWrap w:val="false"/>
          </w:tcPr>
          <w:p>
            <w:hyperlink r:id="rId31">
              <w:r>
                <w:rPr>
                  <w:rStyle w:val="Hyperlink"/>
                  <w:color w:val="0000FF"/>
                </w:rPr>
                <w:t xml:space="preserve">HF 2716</w:t>
              </w:r>
            </w:hyperlink>
          </w:p>
        </w:tc>
        <w:tc>
          <w:tcPr>
            <w:tcW w:w="3600" w:type="dxa"/>
            <w:noWrap w:val="false"/>
          </w:tcPr>
          <w:p>
            <w:r>
              <w:rPr>
                <w:sz w:val="20"/>
              </w:rPr>
              <w:t>A bill for an act relating to the supplemental nutrition assistance program; the medical assistance program; the special supplemental nutrition program for women, infants, and children; and other public assistance programs under the purview of the department of health and human services. (Formerly HSB 696.)</w:t>
            </w:r>
          </w:p>
        </w:tc>
        <w:tc>
          <w:tcPr>
            <w:tcW w:w="4320" w:type="dxa"/>
            <w:shd w:val="clear" w:color="auto" w:fill="FF8080" w:themeFillTint="30"/>
            <w:noWrap w:val="false"/>
          </w:tcPr>
          <w:p>
            <w:r>
              <w:rPr>
                <w:sz w:val="20"/>
              </w:rPr>
              <w:t>Fiscal Note. (3/27/26)</w:t>
            </w:r>
          </w:p>
        </w:tc>
        <w:tc>
          <w:tcPr>
            <w:tcW w:w="4320" w:type="dxa"/>
            <w:noWrap w:val="false"/>
          </w:tcPr>
          <w:p>
            <w:pPr>
              <w:spacing w:before="0" w:after="0"/>
            </w:pPr>
            <w:r>
              <w:t>Oppose/Against</w:t>
            </w:r>
          </w:p>
        </w:tc>
      </w:tr>
      <w:tr>
        <w:trPr>
          <w:cantSplit w:val="true"/>
        </w:trPr>
        <w:tc>
          <w:tcPr>
            <w:tcW w:w="2160" w:type="dxa"/>
            <w:noWrap w:val="false"/>
          </w:tcPr>
          <w:p>
            <w:hyperlink r:id="rId32">
              <w:r>
                <w:rPr>
                  <w:rStyle w:val="Hyperlink"/>
                  <w:color w:val="0000FF"/>
                </w:rPr>
                <w:t xml:space="preserve">SF 2203</w:t>
              </w:r>
            </w:hyperlink>
          </w:p>
        </w:tc>
        <w:tc>
          <w:tcPr>
            <w:tcW w:w="3600" w:type="dxa"/>
            <w:noWrap w:val="false"/>
          </w:tcPr>
          <w:p>
            <w:r>
              <w:rPr>
                <w:sz w:val="20"/>
              </w:rPr>
              <w:t>A bill for an act relating to the verification of United States citizenship of persons registering to vote and registered voters. (Formerly SSB 3045.)</w:t>
            </w:r>
          </w:p>
        </w:tc>
        <w:tc>
          <w:tcPr>
            <w:tcW w:w="4320" w:type="dxa"/>
            <w:shd w:val="clear" w:color="auto" w:fill="FF8080" w:themeFillTint="30"/>
            <w:noWrap w:val="false"/>
          </w:tcPr>
          <w:p>
            <w:r>
              <w:rPr>
                <w:sz w:val="20"/>
              </w:rPr>
              <w:t>Read first time, referred to State Government. (2/25/26)</w:t>
            </w:r>
          </w:p>
        </w:tc>
        <w:tc>
          <w:tcPr>
            <w:tcW w:w="4320" w:type="dxa"/>
            <w:noWrap w:val="false"/>
          </w:tcPr>
          <w:p>
            <w:pPr>
              <w:spacing w:before="0" w:after="0"/>
            </w:pPr>
            <w:r>
              <w:t>Oppose/Against</w:t>
            </w:r>
          </w:p>
        </w:tc>
      </w:tr>
      <w:tr>
        <w:trPr>
          <w:cantSplit w:val="true"/>
        </w:trPr>
        <w:tc>
          <w:tcPr>
            <w:tcW w:w="2160" w:type="dxa"/>
            <w:noWrap w:val="false"/>
          </w:tcPr>
          <w:p>
            <w:hyperlink r:id="rId33">
              <w:r>
                <w:rPr>
                  <w:rStyle w:val="Hyperlink"/>
                  <w:color w:val="0000FF"/>
                </w:rPr>
                <w:t xml:space="preserve">SSB 3071</w:t>
              </w:r>
            </w:hyperlink>
          </w:p>
        </w:tc>
        <w:tc>
          <w:tcPr>
            <w:tcW w:w="3600" w:type="dxa"/>
            <w:noWrap w:val="false"/>
          </w:tcPr>
          <w:p>
            <w:r>
              <w:rPr>
                <w:sz w:val="20"/>
              </w:rPr>
              <w:t>A bill for an act relating to state law enforcement cooperation with federal immigration and customs enforcement.</w:t>
            </w:r>
          </w:p>
        </w:tc>
        <w:tc>
          <w:tcPr>
            <w:tcW w:w="4320" w:type="dxa"/>
            <w:shd w:val="clear" w:color="auto" w:fill="FF8080" w:themeFillTint="30"/>
            <w:noWrap w:val="false"/>
          </w:tcPr>
          <w:p>
            <w:r>
              <w:rPr>
                <w:sz w:val="20"/>
              </w:rPr>
              <w:t>Subcommittee: Driscoll, Donahue, and Schultz. (1/26/26)</w:t>
            </w:r>
          </w:p>
        </w:tc>
        <w:tc>
          <w:tcPr>
            <w:tcW w:w="4320" w:type="dxa"/>
            <w:noWrap w:val="false"/>
          </w:tcPr>
          <w:p>
            <w:pPr>
              <w:spacing w:before="0" w:after="0"/>
            </w:pPr>
            <w:r>
              <w:t>Oppose/Against</w:t>
            </w:r>
          </w:p>
        </w:tc>
      </w:tr>
    </w:tbl>
    <w:sectPr>
      <w:headerReference w:type="default" r:id="rId2"/>
      <w:footerReference w:type="default" r:id="rId3"/>
      <w:type w:val="nextPage"/>
      <w:pgSz w:w="15840" w:h="12240" w:orient="landscape"/>
      <w:pgMar w:top="1221" w:right="720" w:bottom="720" w:left="720" w:header="432" w:footer="288" w:gutter="0"/>
      <w:pgNumType w:fmt="decimal"/>
      <w:formProt w:val="false"/>
      <w:textDirection w:val="lrTb"/>
      <w:docGrid w:type="default" w:linePitch="100" w:charSpace="0"/>
    </w:sectPr>
  </w:body>
</w:document>
</file>

<file path=word/fontTable.xml><?xml version="1.0" encoding="utf-8"?>
<w:font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 w:name="Calibri">
    <w:charset w:val="01"/>
    <w:family w:val="roman"/>
    <w:pitch w:val="variable"/>
  </w:font>
  <w:font w:name="Cambria">
    <w:charset w:val="01"/>
    <w:family w:val="roman"/>
    <w:pitch w:val="variable"/>
  </w:font>
</w:fonts>
</file>

<file path=word/footer1.xml><?xml version="1.0" encoding="utf-8"?>
<w:ftr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p>
    <w:pPr>
      <w:pStyle w:val="Footer"/>
      <w:spacing w:before="0" w:after="120"/>
      <w:jc w:val="center"/>
      <w:rPr/>
    </w:pPr>
    <w:r>
      <w:rPr>
        <w:rFonts w:ascii="Cambria" w:hAnsi="Cambria"/>
      </w:rPr>
      <w:t xml:space="preserve">PAGE </w:t>
    </w:r>
    <w:r>
      <w:rPr/>
      <w:fldChar w:fldCharType="begin"/>
    </w:r>
    <w:r>
      <w:rPr/>
      <w:instrText> PAGE </w:instrText>
    </w:r>
    <w:r>
      <w:rPr/>
      <w:fldChar w:fldCharType="separate"/>
    </w:r>
    <w:r>
      <w:rPr/>
      <w:t>1</w:t>
    </w:r>
    <w:r>
      <w:rPr/>
      <w:fldChar w:fldCharType="end"/>
    </w:r>
    <w:r>
      <w:rPr>
        <w:rFonts w:ascii="Cambria" w:hAnsi="Cambria"/>
        <w:sz w:val="18"/>
        <w:szCs w:val="18"/>
      </w:rPr>
      <w:t xml:space="preserve"> - </w:t>
    </w:r>
    <w:r>
      <w:rPr/>
      <w:fldChar w:fldCharType="begin"/>
    </w:r>
    <w:r>
      <w:rPr/>
      <w:instrText> DATE \@"M\/d\/yy" </w:instrText>
    </w:r>
    <w:r>
      <w:rPr/>
      <w:fldChar w:fldCharType="separate"/>
    </w:r>
    <w:r>
      <w:rPr/>
      <w:t>2/15/24</w:t>
    </w:r>
    <w:r>
      <w:rPr/>
      <w:fldChar w:fldCharType="end"/>
    </w:r>
  </w:p>
</w:ftr>
</file>

<file path=word/header1.xml><?xml version="1.0" encoding="utf-8"?>
<w:hdr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p>
    <w:pPr>
      <w:pStyle w:val="Header"/>
      <w:rPr/>
    </w:pPr>
    <w:r>
      <w:drawing>
        <wp:anchor distT="0" distB="0" distL="0" distR="0" simplePos="false" relativeHeight="2" behindDoc="false" locked="false" layoutInCell="false" allowOverlap="true">
          <wp:simplePos x="0" y="0"/>
          <wp:positionH relativeFrom="column">
            <wp:posOffset>-114300</wp:posOffset>
          </wp:positionH>
          <wp:positionV relativeFrom="paragraph">
            <wp:posOffset>-33020</wp:posOffset>
          </wp:positionV>
          <wp:extent cx="2038350" cy="743585"/>
          <wp:effectExtent l="0" t="0" r="0" b="0"/>
          <wp:wrapTight wrapText="bothSides">
            <wp:wrapPolygon edited="false">
              <wp:start x="-107" y="0"/>
              <wp:lineTo x="-107" y="21095"/>
              <wp:lineTo x="21436" y="21095"/>
              <wp:lineTo x="21436" y="0"/>
              <wp:lineTo x="-107" y="0"/>
            </wp:wrapPolygon>
          </wp:wrapTight>
          <wp:docPr id="1" name="Image1" descr=""/>
          <wp:cNvGraphicFramePr>
            <a:graphicFrameLocks noChangeAspect="true"/>
          </wp:cNvGraphicFramePr>
          <a:graphic>
            <a:graphicData uri="http://schemas.openxmlformats.org/drawingml/2006/picture">
              <pic:pic>
                <pic:nvPicPr>
                  <pic:cNvPr id="1" name="Image1" descr=""/>
                  <pic:cNvPicPr>
                    <a:picLocks noChangeAspect="true" noChangeArrowheads="true"/>
                  </pic:cNvPicPr>
                </pic:nvPicPr>
                <pic:blipFill>
                  <a:blip r:embed="rId1"/>
                  <a:stretch>
                    <a:fillRect/>
                  </a:stretch>
                </pic:blipFill>
                <pic:spPr bwMode="auto">
                  <a:xfrm>
                    <a:off x="0" y="0"/>
                    <a:ext cx="2038350" cy="743585"/>
                  </a:xfrm>
                  <a:prstGeom prst="rect">
                    <a:avLst/>
                  </a:prstGeom>
                </pic:spPr>
              </pic:pic>
            </a:graphicData>
          </a:graphic>
        </wp:anchor>
      </w:drawing>
    </w:r>
    <w:r>
      <w:rPr/>
      <w:t xml:space="preserve">   </w:t>
    </w:r>
  </w:p>
  <w:p>
    <w:pPr>
      <w:pStyle w:val="Header"/>
      <w:jc w:val="center"/>
      <w:rPr/>
    </w:pPr>
    <w:r>
      <w:rPr/>
      <w:t xml:space="preserve">                                                      </w:t>
    </w:r>
    <w:r>
      <w:rPr>
        <w:b/>
        <w:bCs/>
        <w:sz w:val="32"/>
        <w:szCs w:val="32"/>
      </w:rPr>
      <w:t>Iowa Migrant Movement for Justice 2026 Bill Tracker</w:t>
    </w:r>
  </w:p>
  <w:p>
    <w:pPr>
      <w:pStyle w:val="Header"/>
      <w:jc w:val="center"/>
      <w:rPr>
        <w:b/>
        <w:bCs/>
        <w:sz w:val="32"/>
        <w:szCs w:val="32"/>
      </w:rPr>
    </w:pPr>
    <w:r>
      <w:rPr>
        <w:b/>
        <w:bCs/>
        <w:sz w:val="32"/>
        <w:szCs w:val="32"/>
      </w:rPr>
    </w:r>
  </w:p>
  <w:p>
    <w:pPr>
      <w:pStyle w:val="Header"/>
      <w:jc w:val="center"/>
      <w:rPr>
        <w:b/>
        <w:bCs/>
        <w:sz w:val="24"/>
        <w:szCs w:val="24"/>
      </w:rPr>
    </w:pPr>
    <w:r>
      <w:rPr>
        <w:b/>
        <w:bCs/>
        <w:sz w:val="24"/>
        <w:szCs w:val="24"/>
      </w:rPr>
    </w:r>
  </w:p>
</w:hdr>
</file>

<file path=word/settings.xml><?xml version="1.0" encoding="utf-8"?>
<w:setting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docDefaults>
    <w:rPrDefault>
      <w:rPr>
        <w:rFonts w:ascii="Times New Roman" w:hAnsi="Times New Roman" w:eastAsia="Arial Unicode MS" w:cs="Times New Roman"/>
        <w:lang w:val="en-US" w:eastAsia="zh-CN" w:bidi="hi-IN"/>
      </w:rPr>
    </w:rPrDefault>
    <w:pPrDefault>
      <w:pPr>
        <w:suppressAutoHyphens w:val="true"/>
      </w:pPr>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pPr>
      <w:widowControl/>
      <w:suppressAutoHyphens w:val="false"/>
      <w:bidi w:val="false"/>
      <w:spacing w:before="0" w:after="0"/>
      <w:jc w:val="left"/>
    </w:pPr>
    <w:rPr>
      <w:rFonts w:ascii="Gill Sans MT" w:hAnsi="Times New Roman" w:eastAsia="Arial Unicode MS" w:cs="Times New Roman"/>
      <w:color w:val="auto"/>
      <w:kern w:val="0"/>
      <w:sz w:val="24"/>
      <w:szCs w:val="24"/>
      <w:u w:val="none" w:color="FFFFFF"/>
      <w:lang w:val="en-US" w:eastAsia="en-US" w:bidi="ar-SA"/>
    </w:rPr>
  </w:style>
  <w:style w:type="character" w:styleId="DefaultParagraphFont" w:default="true">
    <w:name w:val="Default Paragraph Font"/>
    <w:uiPriority w:val="1"/>
    <w:semiHidden/>
    <w:unhideWhenUsed/>
    <w:qFormat/>
    <w:rPr/>
  </w:style>
  <w:style w:type="character" w:styleId="InternetLink">
    <w:name w:val="Hyperlink"/>
    <w:rPr>
      <w:rFonts w:ascii="Gill Sans MT"/>
      <w:b w:val="true"/>
      <w:color w:val="000000"/>
      <w:sz w:val="22"/>
      <w:u w:val="single" w:color="000000"/>
    </w:rPr>
  </w:style>
  <w:style w:type="paragraph" w:styleId="Heading" w:customStyle="true">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before="0" w:after="140" w:line="276" w:lineRule="auto"/>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customStyle="true">
    <w:name w:val="Index"/>
    <w:basedOn w:val="Normal"/>
    <w:qFormat/>
    <w:pPr>
      <w:suppressLineNumbers/>
    </w:pPr>
    <w:rPr>
      <w:rFonts w:cs="Arial Unicode MS"/>
    </w:rPr>
  </w:style>
  <w:style w:type="paragraph" w:styleId="Caption1">
    <w:name w:val="caption"/>
    <w:basedOn w:val="Normal"/>
    <w:qFormat/>
    <w:pPr>
      <w:suppressLineNumbers/>
      <w:spacing w:before="120" w:after="120"/>
    </w:pPr>
    <w:rPr>
      <w:rFonts w:cs="Arial Unicode MS"/>
      <w:i/>
      <w:iCs/>
    </w:rPr>
  </w:style>
  <w:style w:type="paragraph" w:styleId="Body" w:customStyle="true">
    <w:name w:val="Body"/>
    <w:qFormat/>
    <w:pPr>
      <w:widowControl/>
      <w:suppressAutoHyphens w:val="true"/>
      <w:bidi w:val="false"/>
      <w:spacing w:before="0" w:after="120" w:line="276" w:lineRule="auto"/>
      <w:jc w:val="left"/>
    </w:pPr>
    <w:rPr>
      <w:rFonts w:ascii="Calibri" w:hAnsi="Calibri" w:eastAsia="Arial Unicode MS" w:cs="Arial Unicode MS"/>
      <w:color w:val="00000A"/>
      <w:kern w:val="0"/>
      <w:sz w:val="22"/>
      <w:szCs w:val="22"/>
      <w:u w:val="none" w:color="00000A"/>
      <w:lang w:val="de-DE" w:eastAsia="zh-CN" w:bidi="hi-IN"/>
    </w:rPr>
  </w:style>
  <w:style w:type="paragraph" w:styleId="HeaderandFooter" w:customStyle="true">
    <w:name w:val="Header and Footer"/>
    <w:basedOn w:val="Normal"/>
    <w:qFormat/>
    <w:pPr/>
    <w:rPr/>
  </w:style>
  <w:style w:type="paragraph" w:styleId="Footer">
    <w:name w:val="Footer"/>
    <w:pPr>
      <w:widowControl/>
      <w:tabs>
        <w:tab w:val="clear" w:pos="720"/>
        <w:tab w:val="center" w:leader="none" w:pos="4680"/>
        <w:tab w:val="right" w:leader="none" w:pos="9360"/>
      </w:tabs>
      <w:suppressAutoHyphens w:val="true"/>
      <w:bidi w:val="false"/>
      <w:spacing w:before="0" w:after="0"/>
      <w:jc w:val="left"/>
    </w:pPr>
    <w:rPr>
      <w:rFonts w:ascii="Calibri" w:hAnsi="Calibri" w:eastAsia="Arial Unicode MS" w:cs="Arial Unicode MS"/>
      <w:color w:val="00000A"/>
      <w:kern w:val="0"/>
      <w:sz w:val="22"/>
      <w:szCs w:val="22"/>
      <w:u w:val="none" w:color="00000A"/>
      <w:lang w:val="en-US" w:eastAsia="zh-CN" w:bidi="hi-IN"/>
    </w:rPr>
  </w:style>
  <w:style w:type="paragraph" w:styleId="Header">
    <w:name w:val="Header"/>
    <w:basedOn w:val="HeaderandFooter"/>
    <w:pPr/>
    <w:rPr/>
  </w:style>
  <w:style w:type="numbering" w:styleId="NoList" w:default="true">
    <w:name w:val="No List"/>
    <w:uiPriority w:val="99"/>
    <w:semiHidden/>
    <w:unhideWhenUsed/>
    <w:qFormat/>
  </w:style>
  <w:style w:type="table" w:styleId="TableNormal" w:default="true">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Relationship Target="header1.xml" Type="http://schemas.openxmlformats.org/officeDocument/2006/relationships/header" Id="rId2"></Relationship><Relationship Target="footer1.xml" Type="http://schemas.openxmlformats.org/officeDocument/2006/relationships/footer" Id="rId3"></Relationship><Relationship Target="fontTable.xml" Type="http://schemas.openxmlformats.org/officeDocument/2006/relationships/fontTable" Id="rId4"></Relationship><Relationship Target="settings.xml" Type="http://schemas.openxmlformats.org/officeDocument/2006/relationships/settings" Id="rId5"></Relationship><Relationship Target="theme/theme1.xml" Type="http://schemas.openxmlformats.org/officeDocument/2006/relationships/theme" Id="rId6"></Relationship><Relationship TargetMode="External" Target="https://www.legis.iowa.gov/legislation/BillBook?ga=91&amp;ba=HF2513" Type="http://schemas.openxmlformats.org/officeDocument/2006/relationships/hyperlink" Id="rId7"/><Relationship TargetMode="External" Target="https://www.legis.iowa.gov/legislation/BillBook?ga=91&amp;ba=HF2608" Type="http://schemas.openxmlformats.org/officeDocument/2006/relationships/hyperlink" Id="rId8"/><Relationship TargetMode="External" Target="https://www.legis.iowa.gov/legislation/BillBook?ga=91&amp;ba=HF2711" Type="http://schemas.openxmlformats.org/officeDocument/2006/relationships/hyperlink" Id="rId9"/><Relationship TargetMode="External" Target="https://www.legis.iowa.gov/legislation/BillBook?ga=91&amp;ba=HF2750" Type="http://schemas.openxmlformats.org/officeDocument/2006/relationships/hyperlink" Id="rId10"/><Relationship TargetMode="External" Target="https://www.legis.iowa.gov/legislation/BillBook?ga=91&amp;ba=SF2218" Type="http://schemas.openxmlformats.org/officeDocument/2006/relationships/hyperlink" Id="rId11"/><Relationship TargetMode="External" Target="https://www.legis.iowa.gov/legislation/BillBook?ga=91&amp;ba=SF2412" Type="http://schemas.openxmlformats.org/officeDocument/2006/relationships/hyperlink" Id="rId12"/><Relationship TargetMode="External" Target="https://www.legis.iowa.gov/legislation/BillBook?ga=91&amp;ba=HF2041" Type="http://schemas.openxmlformats.org/officeDocument/2006/relationships/hyperlink" Id="rId13"/><Relationship TargetMode="External" Target="https://www.legis.iowa.gov/legislation/BillBook?ga=91&amp;ba=SF2097" Type="http://schemas.openxmlformats.org/officeDocument/2006/relationships/hyperlink" Id="rId14"/><Relationship TargetMode="External" Target="https://www.legis.iowa.gov/legislation/BillBook?ga=91&amp;ba=SF2097" Type="http://schemas.openxmlformats.org/officeDocument/2006/relationships/hyperlink" Id="rId15"/><Relationship TargetMode="External" Target="https://www.legis.iowa.gov/legislation/BillBook?ga=91&amp;ba=HF2041" Type="http://schemas.openxmlformats.org/officeDocument/2006/relationships/hyperlink" Id="rId16"/><Relationship TargetMode="External" Target="https://www.legis.iowa.gov/legislation/BillBook?ga=91&amp;ba=HF2100" Type="http://schemas.openxmlformats.org/officeDocument/2006/relationships/hyperlink" Id="rId17"/><Relationship TargetMode="External" Target="https://www.legis.iowa.gov/legislation/BillBook?ga=91&amp;ba=HF2101" Type="http://schemas.openxmlformats.org/officeDocument/2006/relationships/hyperlink" Id="rId18"/><Relationship TargetMode="External" Target="https://www.legis.iowa.gov/legislation/BillBook?ga=91&amp;ba=HF2102" Type="http://schemas.openxmlformats.org/officeDocument/2006/relationships/hyperlink" Id="rId19"/><Relationship TargetMode="External" Target="https://www.legis.iowa.gov/legislation/BillBook?ga=91&amp;ba=HF2108" Type="http://schemas.openxmlformats.org/officeDocument/2006/relationships/hyperlink" Id="rId20"/><Relationship TargetMode="External" Target="https://www.legis.iowa.gov/legislation/BillBook?ga=91&amp;ba=HF2110" Type="http://schemas.openxmlformats.org/officeDocument/2006/relationships/hyperlink" Id="rId21"/><Relationship TargetMode="External" Target="https://www.legis.iowa.gov/legislation/BillBook?ga=91&amp;ba=SF2052" Type="http://schemas.openxmlformats.org/officeDocument/2006/relationships/hyperlink" Id="rId22"/><Relationship TargetMode="External" Target="https://www.legis.iowa.gov/legislation/BillBook?ga=91&amp;ba=SF2052" Type="http://schemas.openxmlformats.org/officeDocument/2006/relationships/hyperlink" Id="rId23"/><Relationship TargetMode="External" Target="https://www.legis.iowa.gov/legislation/BillBook?ga=91&amp;ba=HF2110" Type="http://schemas.openxmlformats.org/officeDocument/2006/relationships/hyperlink" Id="rId24"/><Relationship TargetMode="External" Target="https://www.legis.iowa.gov/legislation/BillBook?ga=91&amp;ba=HF2168" Type="http://schemas.openxmlformats.org/officeDocument/2006/relationships/hyperlink" Id="rId25"/><Relationship TargetMode="External" Target="https://www.legis.iowa.gov/legislation/BillBook?ga=91&amp;ba=HF2397" Type="http://schemas.openxmlformats.org/officeDocument/2006/relationships/hyperlink" Id="rId26"/><Relationship TargetMode="External" Target="https://www.legis.iowa.gov/legislation/BillBook?ga=91&amp;ba=HF2407" Type="http://schemas.openxmlformats.org/officeDocument/2006/relationships/hyperlink" Id="rId27"/><Relationship TargetMode="External" Target="https://www.legis.iowa.gov/legislation/BillBook?ga=91&amp;ba=HF2477" Type="http://schemas.openxmlformats.org/officeDocument/2006/relationships/hyperlink" Id="rId28"/><Relationship TargetMode="External" Target="https://www.legis.iowa.gov/legislation/BillBook?ga=91&amp;ba=HF2541" Type="http://schemas.openxmlformats.org/officeDocument/2006/relationships/hyperlink" Id="rId29"/><Relationship TargetMode="External" Target="https://www.legis.iowa.gov/legislation/BillBook?ga=91&amp;ba=HF2565" Type="http://schemas.openxmlformats.org/officeDocument/2006/relationships/hyperlink" Id="rId30"/><Relationship TargetMode="External" Target="https://www.legis.iowa.gov/legislation/BillBook?ga=91&amp;ba=HF2716" Type="http://schemas.openxmlformats.org/officeDocument/2006/relationships/hyperlink" Id="rId31"/><Relationship TargetMode="External" Target="https://www.legis.iowa.gov/legislation/BillBook?ga=91&amp;ba=SF2203" Type="http://schemas.openxmlformats.org/officeDocument/2006/relationships/hyperlink" Id="rId32"/><Relationship TargetMode="External" Target="https://www.legis.iowa.gov/legislation/BillBook?ga=91&amp;ba=SSB3071" Type="http://schemas.openxmlformats.org/officeDocument/2006/relationships/hyperlink" Id="rId33"/></Relationships>
</file>

<file path=word/_rels/header1.xml.rels><?xml version="1.0" encoding="UTF-8" standalone="yes"?><Relationships xmlns="http://schemas.openxmlformats.org/package/2006/relationships"><Relationship Target="media/image1.jpeg" Type="http://schemas.openxmlformats.org/officeDocument/2006/relationships/image" Id="rId1"></Relationship></Relationships>
</file>

<file path=word/theme/theme1.xml><?xml version="1.0" encoding="utf-8"?>
<a:theme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29999"/>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false">
              <a:srgbClr val="000000">
                <a:alpha val="35000"/>
              </a:srgbClr>
            </a:outerShdw>
          </a:effectLst>
        </a:effectStyle>
        <a:effectStyle>
          <a:effectLst>
            <a:outerShdw blurRad="38100" dist="23000" dir="5400000" rotWithShape="false">
              <a:srgbClr val="000000">
                <a:alpha val="35000"/>
              </a:srgbClr>
            </a:outerShdw>
          </a:effectLst>
        </a:effectStyle>
        <a:effectStyle>
          <a:effectLst>
            <a:outerShdw blurRad="38100" dist="20000" dir="5400000" rotWithShape="false">
              <a:srgbClr val="000000">
                <a:alpha val="38000"/>
              </a:srgbClr>
            </a:outerShdw>
          </a:effectLst>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false">
            <a:srgbClr val="000000">
              <a:alpha val="35000"/>
            </a:srgbClr>
          </a:outerShdw>
        </a:effectLst>
        <a:sp3d/>
      </a:spPr>
      <a:bodyPr rot="0" spcFirstLastPara="true" vertOverflow="overflow" horzOverflow="overflow" vert="horz" wrap="square" lIns="45719" tIns="45719" rIns="45719" bIns="45719" numCol="1" spcCol="38100" rtlCol="false" anchor="ctr">
        <a:spAutoFit/>
      </a:bodyPr>
      <a:lstStyle>
        <a:defPPr marL="0" marR="0" indent="0" algn="l" defTabSz="914400" rtl="false" fontAlgn="auto" latinLnBrk="fals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latin typeface="Calibri"/>
            <a:ea typeface="Calibri"/>
            <a:cs typeface="Calibri"/>
            <a:sym typeface="Calibri"/>
          </a:defRPr>
        </a:defPPr>
        <a:lvl1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1pPr>
        <a:lvl2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2pPr>
        <a:lvl3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3pPr>
        <a:lvl4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4pPr>
        <a:lvl5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5pPr>
        <a:lvl6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6pPr>
        <a:lvl7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7pPr>
        <a:lvl8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8pPr>
        <a:lvl9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false">
            <a:srgbClr val="000000">
              <a:alpha val="38000"/>
            </a:srgbClr>
          </a:outerShdw>
        </a:effectLst>
        <a:sp3d/>
      </a:spPr>
      <a:bodyPr rot="0" spcFirstLastPara="true" vertOverflow="overflow" horzOverflow="overflow" vert="horz" wrap="square" lIns="91439" tIns="45719" rIns="91439" bIns="45719" numCol="1" spcCol="38100" rtlCol="false" anchor="t">
        <a:noAutofit/>
      </a:bodyPr>
      <a:lstStyle>
        <a:def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defPPr>
        <a:lvl1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1pPr>
        <a:lvl2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2pPr>
        <a:lvl3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3pPr>
        <a:lvl4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4pPr>
        <a:lvl5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5pPr>
        <a:lvl6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6pPr>
        <a:lvl7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7pPr>
        <a:lvl8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8pPr>
        <a:lvl9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true" vertOverflow="overflow" horzOverflow="overflow" vert="horz" wrap="square" lIns="45719" tIns="45719" rIns="45719" bIns="45719" numCol="1" spcCol="38100" rtlCol="false" anchor="t">
        <a:spAutoFit/>
      </a:bodyPr>
      <a:lstStyle>
        <a:defPPr marL="0" marR="0" indent="0" algn="l" defTabSz="914400" rtl="false" fontAlgn="auto" latinLnBrk="fals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latin typeface="Calibri"/>
            <a:ea typeface="Calibri"/>
            <a:cs typeface="Calibri"/>
            <a:sym typeface="Calibri"/>
          </a:defRPr>
        </a:defPPr>
        <a:lvl1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1pPr>
        <a:lvl2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2pPr>
        <a:lvl3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3pPr>
        <a:lvl4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4pPr>
        <a:lvl5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5pPr>
        <a:lvl6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6pPr>
        <a:lvl7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7pPr>
        <a:lvl8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8pPr>
        <a:lvl9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Pages>1</properties:Pages>
  <properties:Words>5</properties:Words>
  <properties:Characters>19</properties:Characters>
  <properties:Paragraphs>3</properties:Paragraphs>
  <properties:TotalTime>203</properties:TotalTime>
  <properties:CharactersWithSpaces>79</properties:CharactersWithSpaces>
  <properties:Application>docx4j</properties:Application>
  <properties:AppVersion>2.7</properties:AppVersion>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2023-11-21T15:17:00Z</dcterms:created>
  <dc:creator>Nick Laning</dc:creator>
  <dc:description/>
  <dc:language>en-US</dc:language>
  <cp:lastModifiedBy>docx4j</cp:lastModifiedBy>
  <dcterms:modified xmlns:xsi="http://www.w3.org/2001/XMLSchema-instance" xsi:type="dcterms:W3CDTF">2024-02-15T13:39:37Z</dcterms:modified>
  <cp:revision>11</cp:revision>
  <dc:subject/>
  <dc:title/>
</cp:coreProperties>
</file>

<file path=docProps/custom.xml><?xml version="1.0" encoding="utf-8"?>
<prop:Properties xmlns:vt="http://schemas.openxmlformats.org/officeDocument/2006/docPropsVTypes" xmlns:prop="http://schemas.openxmlformats.org/officeDocument/2006/custom-properties"/>
</file>