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The House is working to move the medical program bills forward that will increase the number of dispensaries and allow non Iowans to secure a medical card.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181</w:t>
              </w:r>
            </w:hyperlink>
          </w:p>
          <w:p>
            <w:hyperlink r:id="rId8">
              <w:r>
                <w:rPr>
                  <w:rStyle w:val="Hyperlink"/>
                  <w:color w:val="0000FF"/>
                </w:rPr>
                <w:t xml:space="preserve">CO:SF 392</w:t>
              </w:r>
            </w:hyperlink>
          </w:p>
        </w:tc>
        <w:tc>
          <w:tcPr>
            <w:tcW w:w="3600" w:type="dxa"/>
            <w:noWrap w:val="false"/>
          </w:tcPr>
          <w:p>
            <w:r>
              <w:rPr>
                <w:sz w:val="20"/>
              </w:rPr>
              <w:t>A bill for an act prohibiting open containers of beverages containing tetrahydrocannabinol in the passenger area of motor vehicles on highways, and making penalties applicable. (Formerly HSB 29.) Effective date: 07/01/2025.</w:t>
            </w:r>
          </w:p>
        </w:tc>
        <w:tc>
          <w:tcPr>
            <w:tcW w:w="4320" w:type="dxa"/>
            <w:shd w:val="clear" w:color="auto" w:fill="FFFF66" w:themeFillTint="30"/>
            <w:noWrap w:val="false"/>
          </w:tcPr>
          <w:p>
            <w:r>
              <w:rPr>
                <w:sz w:val="20"/>
              </w:rPr>
              <w:t>Signed by Governor. (3/28/25)</w:t>
            </w:r>
            <w:br/>
            <w:r>
              <w:rPr>
                <w:sz w:val="20"/>
              </w:rPr>
              <w:t>Passed House, yeas 86, nays 1. (3/10/25)</w:t>
            </w:r>
            <w:br/>
            <w:r>
              <w:rPr>
                <w:sz w:val="20"/>
              </w:rPr>
              <w:t>Passed Senate, yeas 48, nays 0. (3/12/25)</w:t>
            </w:r>
          </w:p>
        </w:tc>
        <w:tc>
          <w:tcPr>
            <w:tcW w:w="4320" w:type="dxa"/>
            <w:noWrap w:val="false"/>
          </w:tcPr>
          <w:p>
            <w:pPr>
              <w:spacing w:before="0" w:after="0"/>
            </w:pPr>
            <w:r>
              <w:t>Monitor/Undecided</w:t>
            </w:r>
          </w:p>
          <w:p>
            <w:pPr>
              <w:spacing w:before="0" w:after="0"/>
            </w:pPr>
            <w:r>
              <w:t>Passed full Senate 3/12 by a vote of 48-0.</w:t>
            </w:r>
          </w:p>
          <w:p>
            <w:pPr>
              <w:spacing w:before="0" w:after="0"/>
            </w:pPr>
            <w:r>
              <w:t/>
            </w:r>
          </w:p>
        </w:tc>
      </w:tr>
      <w:tr>
        <w:trPr>
          <w:cantSplit w:val="true"/>
        </w:trPr>
        <w:tc>
          <w:tcPr>
            <w:tcW w:w="2160" w:type="dxa"/>
            <w:noWrap w:val="false"/>
          </w:tcPr>
          <w:p>
            <w:hyperlink r:id="rId9">
              <w:r>
                <w:rPr>
                  <w:rStyle w:val="Hyperlink"/>
                  <w:color w:val="0000FF"/>
                </w:rPr>
                <w:t xml:space="preserve">HSB 224</w:t>
              </w:r>
            </w:hyperlink>
          </w:p>
          <w:p>
            <w:hyperlink r:id="rId10">
              <w:r>
                <w:rPr>
                  <w:rStyle w:val="Hyperlink"/>
                  <w:color w:val="0000FF"/>
                </w:rPr>
                <w:t xml:space="preserve">CO:SF 399</w:t>
              </w:r>
            </w:hyperlink>
          </w:p>
        </w:tc>
        <w:tc>
          <w:tcPr>
            <w:tcW w:w="3600" w:type="dxa"/>
            <w:noWrap w:val="false"/>
          </w:tcPr>
          <w:p>
            <w:r>
              <w:rPr>
                <w:sz w:val="20"/>
              </w:rPr>
              <w:t>A bill for an act relating to the licensure of medical cannabidiol dispensaries.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11">
              <w:r>
                <w:rPr>
                  <w:rStyle w:val="Hyperlink"/>
                  <w:color w:val="0000FF"/>
                </w:rPr>
                <w:t xml:space="preserve">HSB 240</w:t>
              </w:r>
            </w:hyperlink>
          </w:p>
        </w:tc>
        <w:tc>
          <w:tcPr>
            <w:tcW w:w="3600" w:type="dxa"/>
            <w:noWrap w:val="false"/>
          </w:tcPr>
          <w:p>
            <w:r>
              <w:rPr>
                <w:sz w:val="20"/>
              </w:rPr>
              <w:t>A bill for an act relating to the issuance of a medical cannabidiol registration card to a person who is not a resident of Iowa.</w:t>
            </w:r>
          </w:p>
        </w:tc>
        <w:tc>
          <w:tcPr>
            <w:tcW w:w="4320" w:type="dxa"/>
            <w:shd w:val="clear" w:color="auto" w:fill="FFFF66" w:themeFillTint="30"/>
            <w:noWrap w:val="false"/>
          </w:tcPr>
          <w:p>
            <w:r>
              <w:rPr>
                <w:sz w:val="20"/>
              </w:rPr>
              <w:t>Committee vote: Yeas, 23. Nays, 1. Excused, 1. (4/2/25)</w:t>
            </w:r>
          </w:p>
        </w:tc>
        <w:tc>
          <w:tcPr>
            <w:tcW w:w="4320" w:type="dxa"/>
            <w:noWrap w:val="false"/>
          </w:tcPr>
          <w:p>
            <w:pPr>
              <w:spacing w:before="0" w:after="0"/>
            </w:pPr>
            <w:r>
              <w:t>Monitor/Undecided</w:t>
            </w:r>
          </w:p>
        </w:tc>
      </w:tr>
      <w:tr>
        <w:trPr>
          <w:cantSplit w:val="true"/>
        </w:trPr>
        <w:tc>
          <w:tcPr>
            <w:tcW w:w="2160" w:type="dxa"/>
            <w:noWrap w:val="false"/>
          </w:tcPr>
          <w:p>
            <w:hyperlink r:id="rId12">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3">
              <w:r>
                <w:rPr>
                  <w:rStyle w:val="Hyperlink"/>
                  <w:color w:val="0000FF"/>
                </w:rPr>
                <w:t xml:space="preserve">HF 181</w:t>
              </w:r>
            </w:hyperlink>
          </w:p>
          <w:p>
            <w:hyperlink r:id="rId14">
              <w:r>
                <w:rPr>
                  <w:rStyle w:val="Hyperlink"/>
                  <w:color w:val="0000FF"/>
                </w:rPr>
                <w:t xml:space="preserve">CO:SF 392</w:t>
              </w:r>
            </w:hyperlink>
          </w:p>
        </w:tc>
        <w:tc>
          <w:tcPr>
            <w:tcW w:w="3600" w:type="dxa"/>
            <w:noWrap w:val="false"/>
          </w:tcPr>
          <w:p>
            <w:r>
              <w:rPr>
                <w:sz w:val="20"/>
              </w:rPr>
              <w:t>A bill for an act prohibiting open containers of beverages containing tetrahydrocannabinol in the passenger area of motor vehicles on highways, and making penalties applicable. (Formerly HSB 29.) Effective date: 07/01/2025.</w:t>
            </w:r>
          </w:p>
        </w:tc>
        <w:tc>
          <w:tcPr>
            <w:tcW w:w="4320" w:type="dxa"/>
            <w:shd w:val="clear" w:color="auto" w:fill="FFFF66" w:themeFillTint="30"/>
            <w:noWrap w:val="false"/>
          </w:tcPr>
          <w:p>
            <w:r>
              <w:rPr>
                <w:sz w:val="20"/>
              </w:rPr>
              <w:t>Signed by Governor. (3/28/25)</w:t>
            </w:r>
            <w:br/>
            <w:r>
              <w:rPr>
                <w:sz w:val="20"/>
              </w:rPr>
              <w:t>Passed House, yeas 86, nays 1. (3/10/25)</w:t>
            </w:r>
            <w:br/>
            <w:r>
              <w:rPr>
                <w:sz w:val="20"/>
              </w:rPr>
              <w:t>Passed Senate, yeas 48, nays 0. (3/12/25)</w:t>
            </w:r>
          </w:p>
        </w:tc>
        <w:tc>
          <w:tcPr>
            <w:tcW w:w="4320" w:type="dxa"/>
            <w:noWrap w:val="false"/>
          </w:tcPr>
          <w:p>
            <w:pPr>
              <w:spacing w:before="0" w:after="0"/>
            </w:pPr>
            <w:r>
              <w:t>Monitor/Undecided</w:t>
            </w:r>
          </w:p>
          <w:p>
            <w:pPr>
              <w:spacing w:before="0" w:after="0"/>
            </w:pPr>
            <w:r>
              <w:t>Passed full Senate 3/12 by a vote of 48-0.</w:t>
            </w:r>
          </w:p>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5">
              <w:r>
                <w:rPr>
                  <w:rStyle w:val="Hyperlink"/>
                  <w:color w:val="0000FF"/>
                </w:rPr>
                <w:t xml:space="preserve">HF 950</w:t>
              </w:r>
            </w:hyperlink>
          </w:p>
          <w:p>
            <w:hyperlink r:id="rId16">
              <w:r>
                <w:rPr>
                  <w:rStyle w:val="Hyperlink"/>
                  <w:color w:val="0000FF"/>
                </w:rPr>
                <w:t xml:space="preserve">CO:SF 163</w:t>
              </w:r>
            </w:hyperlink>
          </w:p>
        </w:tc>
        <w:tc>
          <w:tcPr>
            <w:tcW w:w="3600" w:type="dxa"/>
            <w:noWrap w:val="false"/>
          </w:tcPr>
          <w:p>
            <w:r>
              <w:rPr>
                <w:sz w:val="20"/>
              </w:rPr>
              <w:t>A bill for an act relating to hemp products and the definition, possession, and allowable forms of medical cannabidiol.(Formerly HF 105.)</w:t>
            </w:r>
          </w:p>
        </w:tc>
        <w:tc>
          <w:tcPr>
            <w:tcW w:w="4320" w:type="dxa"/>
            <w:noWrap w:val="false"/>
          </w:tcPr>
          <w:p>
            <w:r>
              <w:rPr>
                <w:sz w:val="20"/>
              </w:rPr>
              <w:t>Amendment H-1083 filed. (3/13/25)</w:t>
            </w:r>
          </w:p>
        </w:tc>
        <w:tc>
          <w:tcPr>
            <w:tcW w:w="4320" w:type="dxa"/>
            <w:noWrap w:val="false"/>
          </w:tcPr>
          <w:p>
            <w:pPr>
              <w:spacing w:before="0" w:after="0"/>
            </w:pPr>
            <w:r>
              <w:t>Monitor/Undecided</w:t>
            </w:r>
          </w:p>
        </w:tc>
      </w:tr>
      <w:tr>
        <w:trPr>
          <w:cantSplit w:val="true"/>
        </w:trPr>
        <w:tc>
          <w:tcPr>
            <w:tcW w:w="2160" w:type="dxa"/>
            <w:noWrap w:val="false"/>
          </w:tcPr>
          <w:p>
            <w:hyperlink r:id="rId17">
              <w:r>
                <w:rPr>
                  <w:rStyle w:val="Hyperlink"/>
                  <w:color w:val="0000FF"/>
                </w:rPr>
                <w:t xml:space="preserve">HF 978</w:t>
              </w:r>
            </w:hyperlink>
          </w:p>
          <w:p>
            <w:hyperlink r:id="rId18">
              <w:r>
                <w:rPr>
                  <w:rStyle w:val="Hyperlink"/>
                  <w:color w:val="0000FF"/>
                </w:rPr>
                <w:t xml:space="preserve">CO:HF 620</w:t>
              </w:r>
            </w:hyperlink>
          </w:p>
        </w:tc>
        <w:tc>
          <w:tcPr>
            <w:tcW w:w="3600" w:type="dxa"/>
            <w:noWrap w:val="false"/>
          </w:tcPr>
          <w:p>
            <w:r>
              <w:rPr>
                <w:sz w:val="20"/>
              </w:rPr>
              <w:t>A bill for an act relating to the production of psilocybin and the administration of psilocybin to persons with post-traumatic stress disorder, and providing penalties.(Formerly HF 620.)</w:t>
            </w:r>
          </w:p>
        </w:tc>
        <w:tc>
          <w:tcPr>
            <w:tcW w:w="4320" w:type="dxa"/>
            <w:shd w:val="clear" w:color="auto" w:fill="FFFF66" w:themeFillTint="30"/>
            <w:noWrap w:val="false"/>
          </w:tcPr>
          <w:p>
            <w:r>
              <w:rPr>
                <w:sz w:val="20"/>
              </w:rPr>
              <w:t>Introduced, placed on Ways and Means calendar. (3/27/25)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HSB 224</w:t>
              </w:r>
            </w:hyperlink>
          </w:p>
          <w:p>
            <w:hyperlink r:id="rId20">
              <w:r>
                <w:rPr>
                  <w:rStyle w:val="Hyperlink"/>
                  <w:color w:val="0000FF"/>
                </w:rPr>
                <w:t xml:space="preserve">CO:SF 399</w:t>
              </w:r>
            </w:hyperlink>
          </w:p>
        </w:tc>
        <w:tc>
          <w:tcPr>
            <w:tcW w:w="3600" w:type="dxa"/>
            <w:noWrap w:val="false"/>
          </w:tcPr>
          <w:p>
            <w:r>
              <w:rPr>
                <w:sz w:val="20"/>
              </w:rPr>
              <w:t>A bill for an act relating to the licensure of medical cannabidiol dispensaries.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21">
              <w:r>
                <w:rPr>
                  <w:rStyle w:val="Hyperlink"/>
                  <w:color w:val="0000FF"/>
                </w:rPr>
                <w:t xml:space="preserve">SF 399</w:t>
              </w:r>
            </w:hyperlink>
          </w:p>
          <w:p>
            <w:hyperlink r:id="rId22">
              <w:r>
                <w:rPr>
                  <w:rStyle w:val="Hyperlink"/>
                  <w:color w:val="0000FF"/>
                </w:rPr>
                <w:t xml:space="preserve">CO:HSB 224</w:t>
              </w:r>
            </w:hyperlink>
          </w:p>
        </w:tc>
        <w:tc>
          <w:tcPr>
            <w:tcW w:w="3600" w:type="dxa"/>
            <w:noWrap w:val="false"/>
          </w:tcPr>
          <w:p>
            <w:r>
              <w:rPr>
                <w:sz w:val="20"/>
              </w:rPr>
              <w:t>A bill for an act relating to the licensure of medical cannabidiol dispensaries.(Formerly SF 46.)</w:t>
            </w:r>
          </w:p>
        </w:tc>
        <w:tc>
          <w:tcPr>
            <w:tcW w:w="4320" w:type="dxa"/>
            <w:noWrap w:val="false"/>
          </w:tcPr>
          <w:p>
            <w:r>
              <w:rPr>
                <w:sz w:val="20"/>
              </w:rPr>
              <w:t>Committee report, approving bill. (2/20/25)</w:t>
            </w:r>
          </w:p>
        </w:tc>
        <w:tc>
          <w:tcPr>
            <w:tcW w:w="4320" w:type="dxa"/>
            <w:noWrap w:val="false"/>
          </w:tcPr>
          <w:p>
            <w:pPr>
              <w:spacing w:before="0" w:after="0"/>
            </w:pPr>
            <w:r>
              <w:t/>
            </w:r>
          </w:p>
        </w:tc>
      </w:tr>
      <w:tr>
        <w:trPr>
          <w:cantSplit w:val="true"/>
        </w:trPr>
        <w:tc>
          <w:tcPr>
            <w:tcW w:w="2160" w:type="dxa"/>
            <w:noWrap w:val="false"/>
          </w:tcPr>
          <w:p>
            <w:hyperlink r:id="rId23">
              <w:r>
                <w:rPr>
                  <w:rStyle w:val="Hyperlink"/>
                  <w:color w:val="0000FF"/>
                </w:rPr>
                <w:t xml:space="preserve">HSB 240</w:t>
              </w:r>
            </w:hyperlink>
          </w:p>
        </w:tc>
        <w:tc>
          <w:tcPr>
            <w:tcW w:w="3600" w:type="dxa"/>
            <w:noWrap w:val="false"/>
          </w:tcPr>
          <w:p>
            <w:r>
              <w:rPr>
                <w:sz w:val="20"/>
              </w:rPr>
              <w:t>A bill for an act relating to the issuance of a medical cannabidiol registration card to a person who is not a resident of Iowa.</w:t>
            </w:r>
          </w:p>
        </w:tc>
        <w:tc>
          <w:tcPr>
            <w:tcW w:w="4320" w:type="dxa"/>
            <w:shd w:val="clear" w:color="auto" w:fill="FFFF66" w:themeFillTint="30"/>
            <w:noWrap w:val="false"/>
          </w:tcPr>
          <w:p>
            <w:r>
              <w:rPr>
                <w:sz w:val="20"/>
              </w:rPr>
              <w:t>Committee vote: Yeas, 23. Nays, 1. Excused, 1. (4/2/25)</w:t>
            </w:r>
          </w:p>
        </w:tc>
        <w:tc>
          <w:tcPr>
            <w:tcW w:w="4320" w:type="dxa"/>
            <w:noWrap w:val="false"/>
          </w:tcPr>
          <w:p>
            <w:pPr>
              <w:spacing w:before="0" w:after="0"/>
            </w:pPr>
            <w:r>
              <w:t>Monitor/Undecided</w:t>
            </w:r>
          </w:p>
        </w:tc>
      </w:tr>
      <w:tr>
        <w:trPr>
          <w:cantSplit w:val="true"/>
        </w:trPr>
        <w:tc>
          <w:tcPr>
            <w:tcW w:w="2160" w:type="dxa"/>
            <w:noWrap w:val="false"/>
          </w:tcPr>
          <w:p>
            <w:hyperlink r:id="rId24">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SSB 1205</w:t>
              </w:r>
            </w:hyperlink>
          </w:p>
          <w:p>
            <w:hyperlink r:id="rId26">
              <w:r>
                <w:rPr>
                  <w:rStyle w:val="Hyperlink"/>
                  <w:color w:val="0000FF"/>
                </w:rPr>
                <w:t xml:space="preserve">CO:HSB 305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noWrap w:val="false"/>
          </w:tcPr>
          <w:p>
            <w:r>
              <w:rPr>
                <w:sz w:val="20"/>
              </w:rPr>
              <w:t>Subcommittee Meeting: 03/27/2025 12:00PM Senate Lounge. (3/24/25)</w:t>
            </w:r>
          </w:p>
        </w:tc>
        <w:tc>
          <w:tcPr>
            <w:tcW w:w="4320" w:type="dxa"/>
            <w:noWrap w:val="false"/>
          </w:tcPr>
          <w:p>
            <w:pPr>
              <w:spacing w:before="0" w:after="0"/>
            </w:pPr>
            <w:r>
              <w:t/>
            </w:r>
          </w:p>
          <w:p>
            <w:pPr>
              <w:spacing w:before="0" w:after="0"/>
            </w:pPr>
            <w:r>
              <w:t>Bill brought forward by IEDA. Director Durham was present to talk about the bill and answer questions. Sen. Dotzler began with saying he still has concerns about the bill, but appreciates that this is trying to target certain tax credits. Iowa Taxpayers Assoc. brought up the Research and Development Tax Credit return on investment, federal government definitions realignment that this does, etc. Professional Developers of Iowa are supportive, but said some folks are concerned with the EndowIowa language change and removal and the abatement piece restrictions, saying entities need more flexibility. Many individuals and groups were present to speak against the changes to EndowIowa, including the Iowa Community Foundations, who are registered opposed. Sen. Dawson said that this is an ongoing conversation and he would like to learn the history of it more from Sen. Dotzler and continue conversations with everyone. Passed subcommittee.</w:t>
            </w:r>
          </w:p>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7">
              <w:r>
                <w:rPr>
                  <w:rStyle w:val="Hyperlink"/>
                  <w:color w:val="0000FF"/>
                </w:rPr>
                <w:t xml:space="preserve">HF 8</w:t>
              </w:r>
            </w:hyperlink>
          </w:p>
        </w:tc>
        <w:tc>
          <w:tcPr>
            <w:tcW w:w="3600" w:type="dxa"/>
            <w:noWrap w:val="false"/>
          </w:tcPr>
          <w:p>
            <w:r>
              <w:rPr>
                <w:sz w:val="20"/>
              </w:rPr>
              <w:t>A bill for an act relating to student access to broad-spectrum cannabidiol products from school nurses during the school day.</w:t>
            </w:r>
          </w:p>
        </w:tc>
        <w:tc>
          <w:tcPr>
            <w:tcW w:w="4320" w:type="dxa"/>
            <w:shd w:val="clear" w:color="auto" w:fill="FF8080" w:themeFillTint="30"/>
            <w:noWrap w:val="false"/>
          </w:tcPr>
          <w:p>
            <w:r>
              <w:rPr>
                <w:sz w:val="20"/>
              </w:rPr>
              <w:t>Introduced, referred to Education. (1/14/25)</w:t>
            </w:r>
          </w:p>
        </w:tc>
        <w:tc>
          <w:tcPr>
            <w:tcW w:w="4320" w:type="dxa"/>
            <w:noWrap w:val="false"/>
          </w:tcPr>
          <w:p>
            <w:pPr>
              <w:spacing w:before="0" w:after="0"/>
            </w:pPr>
            <w:r>
              <w:t/>
            </w:r>
          </w:p>
        </w:tc>
      </w:tr>
      <w:tr>
        <w:trPr>
          <w:cantSplit w:val="true"/>
        </w:trPr>
        <w:tc>
          <w:tcPr>
            <w:tcW w:w="2160" w:type="dxa"/>
            <w:noWrap w:val="false"/>
          </w:tcPr>
          <w:p>
            <w:hyperlink r:id="rId28">
              <w:r>
                <w:rPr>
                  <w:rStyle w:val="Hyperlink"/>
                  <w:color w:val="0000FF"/>
                </w:rPr>
                <w:t xml:space="preserve">HF 72</w:t>
              </w:r>
            </w:hyperlink>
          </w:p>
        </w:tc>
        <w:tc>
          <w:tcPr>
            <w:tcW w:w="3600" w:type="dxa"/>
            <w:noWrap w:val="false"/>
          </w:tcPr>
          <w:p>
            <w:r>
              <w:rPr>
                <w:sz w:val="20"/>
              </w:rPr>
              <w:t>A bill for an act relating to the possession of small quantities of marijuana, and providing penalties.</w:t>
            </w:r>
          </w:p>
        </w:tc>
        <w:tc>
          <w:tcPr>
            <w:tcW w:w="4320" w:type="dxa"/>
            <w:shd w:val="clear" w:color="auto" w:fill="FF8080" w:themeFillTint="30"/>
            <w:noWrap w:val="false"/>
          </w:tcPr>
          <w:p>
            <w:r>
              <w:rPr>
                <w:sz w:val="20"/>
              </w:rPr>
              <w:t>Introduced, referred to Public Safety. (1/16/25)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29">
              <w:r>
                <w:rPr>
                  <w:rStyle w:val="Hyperlink"/>
                  <w:color w:val="0000FF"/>
                </w:rPr>
                <w:t xml:space="preserve">HF 78</w:t>
              </w:r>
            </w:hyperlink>
          </w:p>
        </w:tc>
        <w:tc>
          <w:tcPr>
            <w:tcW w:w="3600" w:type="dxa"/>
            <w:noWrap w:val="false"/>
          </w:tcPr>
          <w:p>
            <w:r>
              <w:rPr>
                <w:sz w:val="20"/>
              </w:rPr>
              <w:t>A bill for an act relating to the possession of small quantities of marijuana, and providing penalties.</w:t>
            </w:r>
          </w:p>
        </w:tc>
        <w:tc>
          <w:tcPr>
            <w:tcW w:w="4320" w:type="dxa"/>
            <w:shd w:val="clear" w:color="auto" w:fill="FF8080" w:themeFillTint="30"/>
            <w:noWrap w:val="false"/>
          </w:tcPr>
          <w:p>
            <w:r>
              <w:rPr>
                <w:sz w:val="20"/>
              </w:rPr>
              <w:t>Introduced, referred to Public Safety. (1/16/25)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30">
              <w:r>
                <w:rPr>
                  <w:rStyle w:val="Hyperlink"/>
                  <w:color w:val="0000FF"/>
                </w:rPr>
                <w:t xml:space="preserve">HF 612</w:t>
              </w:r>
            </w:hyperlink>
          </w:p>
        </w:tc>
        <w:tc>
          <w:tcPr>
            <w:tcW w:w="3600" w:type="dxa"/>
            <w:noWrap w:val="false"/>
          </w:tcPr>
          <w:p>
            <w:r>
              <w:rPr>
                <w:sz w:val="20"/>
              </w:rPr>
              <w:t>A bill for an act relating to the regulation of kratom, and making penalties applicable.</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HSB 279</w:t>
              </w:r>
            </w:hyperlink>
          </w:p>
        </w:tc>
        <w:tc>
          <w:tcPr>
            <w:tcW w:w="3600" w:type="dxa"/>
            <w:noWrap w:val="false"/>
          </w:tcPr>
          <w:p>
            <w:r>
              <w:rPr>
                <w:sz w:val="20"/>
              </w:rPr>
              <w:t>A bill for an act providing for the regulation of hemp products, and making penalties applicable.</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p>
            <w:pPr>
              <w:spacing w:before="0" w:after="0"/>
            </w:pPr>
            <w:r>
              <w:t>The bill passed unanimously through the subcommittee. Several folks spoke including the vet association against hemp for pets while the Dept of publica safety said they are monitoring the bill, but have concerns that the work they did on the topic last year is undone in this bill. Dept of AG said this is no longer in their jurisdiction while all others spoke in support of the bill for their patients and livlyihood - to allow access for a 30 day supply of safe legal products. The bill now moves to the full Public Safety Committee for consideration.</w:t>
            </w:r>
          </w:p>
          <w:p>
            <w:pPr>
              <w:spacing w:before="0" w:after="0"/>
            </w:pPr>
            <w:r>
              <w:t/>
            </w:r>
          </w:p>
        </w:tc>
      </w:tr>
      <w:tr>
        <w:trPr>
          <w:cantSplit w:val="true"/>
        </w:trPr>
        <w:tc>
          <w:tcPr>
            <w:tcW w:w="2160" w:type="dxa"/>
            <w:noWrap w:val="false"/>
          </w:tcPr>
          <w:p>
            <w:hyperlink r:id="rId32">
              <w:r>
                <w:rPr>
                  <w:rStyle w:val="Hyperlink"/>
                  <w:color w:val="0000FF"/>
                </w:rPr>
                <w:t xml:space="preserve">SF 163</w:t>
              </w:r>
            </w:hyperlink>
          </w:p>
          <w:p>
            <w:hyperlink r:id="rId33">
              <w:r>
                <w:rPr>
                  <w:rStyle w:val="Hyperlink"/>
                  <w:color w:val="0000FF"/>
                </w:rPr>
                <w:t xml:space="preserve">CO:HF 950</w:t>
              </w:r>
            </w:hyperlink>
          </w:p>
        </w:tc>
        <w:tc>
          <w:tcPr>
            <w:tcW w:w="3600" w:type="dxa"/>
            <w:noWrap w:val="false"/>
          </w:tcPr>
          <w:p>
            <w:r>
              <w:rPr>
                <w:sz w:val="20"/>
              </w:rPr>
              <w:t>A bill for an act relating to the definition of medical cannabidiol.</w:t>
            </w:r>
          </w:p>
        </w:tc>
        <w:tc>
          <w:tcPr>
            <w:tcW w:w="4320" w:type="dxa"/>
            <w:shd w:val="clear" w:color="auto" w:fill="FF8080" w:themeFillTint="30"/>
            <w:noWrap w:val="false"/>
          </w:tcPr>
          <w:p>
            <w:r>
              <w:rPr>
                <w:sz w:val="20"/>
              </w:rPr>
              <w:t>Subcommittee recommends amendment and passage. (2/20/25)</w:t>
            </w:r>
          </w:p>
        </w:tc>
        <w:tc>
          <w:tcPr>
            <w:tcW w:w="4320" w:type="dxa"/>
            <w:noWrap w:val="false"/>
          </w:tcPr>
          <w:p>
            <w:pPr>
              <w:spacing w:before="0" w:after="0"/>
            </w:pPr>
            <w:r>
              <w:t/>
            </w:r>
          </w:p>
          <w:p>
            <w:pPr>
              <w:spacing w:before="0" w:after="0"/>
            </w:pPr>
            <w:r>
              <w:t>The bill was offered by Sen. Webster to make improvements to the Medical program. the health community opposed the bill while the cannabis companies asked for their support. The Hemp community asked for an amendment. Sen. Trone Garriott joined Sen. Klimesh in moving it forward while Sen. Campbell (R) refused to sign it forward. An amendment is expected to address the Hemp Industries concerns.</w:t>
            </w:r>
          </w:p>
          <w:p>
            <w:pPr>
              <w:spacing w:before="0" w:after="0"/>
            </w:pPr>
            <w:r>
              <w:t/>
            </w:r>
          </w:p>
        </w:tc>
      </w:tr>
      <w:tr>
        <w:trPr>
          <w:cantSplit w:val="true"/>
        </w:trPr>
        <w:tc>
          <w:tcPr>
            <w:tcW w:w="2160" w:type="dxa"/>
            <w:noWrap w:val="false"/>
          </w:tcPr>
          <w:p>
            <w:hyperlink r:id="rId34">
              <w:r>
                <w:rPr>
                  <w:rStyle w:val="Hyperlink"/>
                  <w:color w:val="0000FF"/>
                </w:rPr>
                <w:t xml:space="preserve">SF 367</w:t>
              </w:r>
            </w:hyperlink>
          </w:p>
        </w:tc>
        <w:tc>
          <w:tcPr>
            <w:tcW w:w="3600" w:type="dxa"/>
            <w:noWrap w:val="false"/>
          </w:tcPr>
          <w:p>
            <w:r>
              <w:rPr>
                <w:sz w:val="20"/>
              </w:rPr>
              <w:t>A bill for an act designating kratom as a schedule I controlled substance, and making penalties applicable.</w:t>
            </w:r>
          </w:p>
        </w:tc>
        <w:tc>
          <w:tcPr>
            <w:tcW w:w="4320" w:type="dxa"/>
            <w:shd w:val="clear" w:color="auto" w:fill="FF8080" w:themeFillTint="30"/>
            <w:noWrap w:val="false"/>
          </w:tcPr>
          <w:p>
            <w:r>
              <w:rPr>
                <w:sz w:val="20"/>
              </w:rPr>
              <w:t>Subcommittee: Taylor, Green, and Quirmbach. (2/20/25)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SSB 1177</w:t>
              </w:r>
            </w:hyperlink>
          </w:p>
        </w:tc>
        <w:tc>
          <w:tcPr>
            <w:tcW w:w="3600" w:type="dxa"/>
            <w:noWrap w:val="false"/>
          </w:tcPr>
          <w:p>
            <w:r>
              <w:rPr>
                <w:sz w:val="20"/>
              </w:rPr>
              <w:t>A bill for an act relating to the controlled substance crystalline polymorph psilocybin.</w:t>
            </w:r>
          </w:p>
        </w:tc>
        <w:tc>
          <w:tcPr>
            <w:tcW w:w="4320" w:type="dxa"/>
            <w:shd w:val="clear" w:color="auto" w:fill="FF8080" w:themeFillTint="30"/>
            <w:noWrap w:val="false"/>
          </w:tcPr>
          <w:p>
            <w:r>
              <w:rPr>
                <w:sz w:val="20"/>
              </w:rPr>
              <w:t>Subcommittee: Klimesh, Rowley, and Wahls. (2/24/25)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Hemp Alliance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181" Type="http://schemas.openxmlformats.org/officeDocument/2006/relationships/hyperlink" Id="rId7"/><Relationship TargetMode="External" Target="https://www.legis.iowa.gov/legislation/BillBook?ga=91&amp;ba=SF392" Type="http://schemas.openxmlformats.org/officeDocument/2006/relationships/hyperlink" Id="rId8"/><Relationship TargetMode="External" Target="https://www.legis.iowa.gov/legislation/BillBook?ga=91&amp;ba=HSB224" Type="http://schemas.openxmlformats.org/officeDocument/2006/relationships/hyperlink" Id="rId9"/><Relationship TargetMode="External" Target="https://www.legis.iowa.gov/legislation/BillBook?ga=91&amp;ba=SF399" Type="http://schemas.openxmlformats.org/officeDocument/2006/relationships/hyperlink" Id="rId10"/><Relationship TargetMode="External" Target="https://www.legis.iowa.gov/legislation/BillBook?ga=91&amp;ba=HSB240" Type="http://schemas.openxmlformats.org/officeDocument/2006/relationships/hyperlink" Id="rId11"/><Relationship TargetMode="External" Target="https://www.legis.iowa.gov/legislation/BillBook?ga=91&amp;ba=HSB324" Type="http://schemas.openxmlformats.org/officeDocument/2006/relationships/hyperlink" Id="rId12"/><Relationship TargetMode="External" Target="https://www.legis.iowa.gov/legislation/BillBook?ga=91&amp;ba=HF181" Type="http://schemas.openxmlformats.org/officeDocument/2006/relationships/hyperlink" Id="rId13"/><Relationship TargetMode="External" Target="https://www.legis.iowa.gov/legislation/BillBook?ga=91&amp;ba=SF392" Type="http://schemas.openxmlformats.org/officeDocument/2006/relationships/hyperlink" Id="rId14"/><Relationship TargetMode="External" Target="https://www.legis.iowa.gov/legislation/BillBook?ga=91&amp;ba=HF950" Type="http://schemas.openxmlformats.org/officeDocument/2006/relationships/hyperlink" Id="rId15"/><Relationship TargetMode="External" Target="https://www.legis.iowa.gov/legislation/BillBook?ga=91&amp;ba=SF163" Type="http://schemas.openxmlformats.org/officeDocument/2006/relationships/hyperlink" Id="rId16"/><Relationship TargetMode="External" Target="https://www.legis.iowa.gov/legislation/BillBook?ga=91&amp;ba=HF978" Type="http://schemas.openxmlformats.org/officeDocument/2006/relationships/hyperlink" Id="rId17"/><Relationship TargetMode="External" Target="https://www.legis.iowa.gov/legislation/BillBook?ga=91&amp;ba=HF620" Type="http://schemas.openxmlformats.org/officeDocument/2006/relationships/hyperlink" Id="rId18"/><Relationship TargetMode="External" Target="https://www.legis.iowa.gov/legislation/BillBook?ga=91&amp;ba=HSB224" Type="http://schemas.openxmlformats.org/officeDocument/2006/relationships/hyperlink" Id="rId19"/><Relationship TargetMode="External" Target="https://www.legis.iowa.gov/legislation/BillBook?ga=91&amp;ba=SF399" Type="http://schemas.openxmlformats.org/officeDocument/2006/relationships/hyperlink" Id="rId20"/><Relationship TargetMode="External" Target="https://www.legis.iowa.gov/legislation/BillBook?ga=91&amp;ba=SF399" Type="http://schemas.openxmlformats.org/officeDocument/2006/relationships/hyperlink" Id="rId21"/><Relationship TargetMode="External" Target="https://www.legis.iowa.gov/legislation/BillBook?ga=91&amp;ba=HSB224" Type="http://schemas.openxmlformats.org/officeDocument/2006/relationships/hyperlink" Id="rId22"/><Relationship TargetMode="External" Target="https://www.legis.iowa.gov/legislation/BillBook?ga=91&amp;ba=HSB240" Type="http://schemas.openxmlformats.org/officeDocument/2006/relationships/hyperlink" Id="rId23"/><Relationship TargetMode="External" Target="https://www.legis.iowa.gov/legislation/BillBook?ga=91&amp;ba=HSB324" Type="http://schemas.openxmlformats.org/officeDocument/2006/relationships/hyperlink" Id="rId24"/><Relationship TargetMode="External" Target="https://www.legis.iowa.gov/legislation/BillBook?ga=91&amp;ba=SSB1205" Type="http://schemas.openxmlformats.org/officeDocument/2006/relationships/hyperlink" Id="rId25"/><Relationship TargetMode="External" Target="https://www.legis.iowa.gov/legislation/BillBook?ga=91&amp;ba=HSB305" Type="http://schemas.openxmlformats.org/officeDocument/2006/relationships/hyperlink" Id="rId26"/><Relationship TargetMode="External" Target="https://www.legis.iowa.gov/legislation/BillBook?ga=91&amp;ba=HF8" Type="http://schemas.openxmlformats.org/officeDocument/2006/relationships/hyperlink" Id="rId27"/><Relationship TargetMode="External" Target="https://www.legis.iowa.gov/legislation/BillBook?ga=91&amp;ba=HF72" Type="http://schemas.openxmlformats.org/officeDocument/2006/relationships/hyperlink" Id="rId28"/><Relationship TargetMode="External" Target="https://www.legis.iowa.gov/legislation/BillBook?ga=91&amp;ba=HF78" Type="http://schemas.openxmlformats.org/officeDocument/2006/relationships/hyperlink" Id="rId29"/><Relationship TargetMode="External" Target="https://www.legis.iowa.gov/legislation/BillBook?ga=91&amp;ba=HF612" Type="http://schemas.openxmlformats.org/officeDocument/2006/relationships/hyperlink" Id="rId30"/><Relationship TargetMode="External" Target="https://www.legis.iowa.gov/legislation/BillBook?ga=91&amp;ba=HSB279" Type="http://schemas.openxmlformats.org/officeDocument/2006/relationships/hyperlink" Id="rId31"/><Relationship TargetMode="External" Target="https://www.legis.iowa.gov/legislation/BillBook?ga=91&amp;ba=SF163" Type="http://schemas.openxmlformats.org/officeDocument/2006/relationships/hyperlink" Id="rId32"/><Relationship TargetMode="External" Target="https://www.legis.iowa.gov/legislation/BillBook?ga=91&amp;ba=HF950" Type="http://schemas.openxmlformats.org/officeDocument/2006/relationships/hyperlink" Id="rId33"/><Relationship TargetMode="External" Target="https://www.legis.iowa.gov/legislation/BillBook?ga=91&amp;ba=SF367" Type="http://schemas.openxmlformats.org/officeDocument/2006/relationships/hyperlink" Id="rId34"/><Relationship TargetMode="External" Target="https://www.legis.iowa.gov/legislation/BillBook?ga=91&amp;ba=SSB1177" Type="http://schemas.openxmlformats.org/officeDocument/2006/relationships/hyperlink" Id="rId35"/></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