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package.relationships+xml" PartName="/_rels/.rels"/>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package.relationships+xml" PartName="/word/_rels/document.xml.rels"/>
  <Override ContentType="application/vnd.openxmlformats-package.relationships+xml" PartName="/word/_rels/header1.xml.rels"/>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image/jpeg" PartName="/word/media/image1.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Target="docProps/core.xml" Type="http://schemas.openxmlformats.org/package/2006/relationships/metadata/core-properties" Id="rId1"></Relationship><Relationship Target="docProps/app.xml" Type="http://schemas.openxmlformats.org/officeDocument/2006/relationships/extended-properties" Id="rId2"></Relationship><Relationship Target="docProps/custom.xml" Type="http://schemas.openxmlformats.org/officeDocument/2006/relationships/custom-properties" Id="rId3"></Relationship><Relationship Target="word/document.xml" Type="http://schemas.openxmlformats.org/officeDocument/2006/relationships/officeDocument" Id="rId4"></Relationship></Relationships>
</file>

<file path=word/document.xml><?xml version="1.0" encoding="utf-8"?>
<w:document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Body"/>
        <w:spacing w:before="0" w:after="0" w:line="240" w:lineRule="auto"/>
        <w:rPr/>
      </w:pPr>
      <w:r>
        <w:rPr/>
      </w:r>
    </w:p>
    <w:p>
      <w:r>
        <w:rPr>
          <w:sz w:val="24"/>
        </w:rPr>
        <w:t/>
      </w:r>
    </w:p>
    <w:p>
      <w:pPr>
        <w:spacing w:before="0" w:after="0"/>
      </w:pPr>
      <w:r>
        <w:rPr>
          <w:b w:val="true"/>
          <w:sz w:val="36"/>
          <w:u w:val="single"/>
        </w:rPr>
        <w:t>Recent Legislative Action</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7">
              <w:r>
                <w:rPr>
                  <w:rStyle w:val="Hyperlink"/>
                  <w:color w:val="0000FF"/>
                </w:rPr>
                <w:t xml:space="preserve">SF 469</w:t>
              </w:r>
            </w:hyperlink>
          </w:p>
        </w:tc>
        <w:tc>
          <w:tcPr>
            <w:tcW w:w="3600" w:type="dxa"/>
            <w:noWrap w:val="false"/>
          </w:tcPr>
          <w:p>
            <w:r>
              <w:rPr>
                <w:sz w:val="20"/>
              </w:rPr>
              <w:t>A bill for an act creating an emeritus license to practice medicine and surgery or osteopathic medicine and surgery.(Formerly SSB 1121.)</w:t>
            </w:r>
          </w:p>
        </w:tc>
        <w:tc>
          <w:tcPr>
            <w:tcW w:w="4320" w:type="dxa"/>
            <w:shd w:val="clear" w:color="auto" w:fill="FFFF66" w:themeFillTint="30"/>
            <w:noWrap w:val="false"/>
          </w:tcPr>
          <w:p>
            <w:r>
              <w:rPr>
                <w:sz w:val="20"/>
              </w:rPr>
              <w:t>Pursuant to Rule 31.7, referred to Ways and Means. (4/1/25)</w:t>
            </w:r>
            <w:br/>
            <w:r>
              <w:rPr>
                <w:sz w:val="20"/>
              </w:rPr>
              <w:t>Passed Senate, yeas 40, nays 6. (3/17/25)</w:t>
            </w:r>
          </w:p>
        </w:tc>
        <w:tc>
          <w:tcPr>
            <w:tcW w:w="4320" w:type="dxa"/>
            <w:noWrap w:val="false"/>
          </w:tcPr>
          <w:p>
            <w:pPr>
              <w:spacing w:before="0" w:after="0"/>
            </w:pPr>
            <w:r>
              <w:t>Monitor/Undecided</w:t>
            </w:r>
          </w:p>
          <w:p>
            <w:pPr>
              <w:spacing w:before="0" w:after="0"/>
            </w:pPr>
            <w:r>
              <w:t>House sub on 3/25. Iowa Medical Society, which is supportive, had some comments about the CME portion of the bill. They also commented that current licensing requirements are hindering people from staying in the profession and their members have concerns about CME requirements. Iowa Mental Health Advocacy is also supportive, but said they believe CME is important have concerns about removing those requirements altogether. Rep. Baeth wanted to know what other states and said that it is important we don't explicitly waive learning updated medicine, a lot can change in a few months or years. Rep. Ingels wanted to know what the current cost of licensure is, but DIAL didn't have the answer. Passed house sub.</w:t>
            </w:r>
          </w:p>
          <w:p>
            <w:pPr>
              <w:spacing w:before="0" w:after="0"/>
            </w:pPr>
            <w:r>
              <w:t/>
            </w:r>
          </w:p>
        </w:tc>
      </w:tr>
      <w:tr>
        <w:trPr>
          <w:cantSplit w:val="true"/>
        </w:trPr>
        <w:tc>
          <w:tcPr>
            <w:tcW w:w="2160" w:type="dxa"/>
            <w:noWrap w:val="false"/>
          </w:tcPr>
          <w:p>
            <w:hyperlink r:id="rId8">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Track (no public position, but follow it)</w:t>
            </w:r>
          </w:p>
        </w:tc>
      </w:tr>
    </w:tbl>
    <w:p>
      <w:r>
        <w:rPr>
          <w:sz w:val="24"/>
        </w:rPr>
        <w:t/>
      </w:r>
    </w:p>
    <w:p>
      <w:pPr>
        <w:spacing w:before="0" w:after="0"/>
      </w:pPr>
      <w:r>
        <w:rPr>
          <w:b w:val="true"/>
          <w:sz w:val="36"/>
          <w:u w:val="single"/>
        </w:rPr>
        <w:t>Alive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9">
              <w:r>
                <w:rPr>
                  <w:rStyle w:val="Hyperlink"/>
                  <w:color w:val="0000FF"/>
                </w:rPr>
                <w:t xml:space="preserve">SF 469</w:t>
              </w:r>
            </w:hyperlink>
          </w:p>
        </w:tc>
        <w:tc>
          <w:tcPr>
            <w:tcW w:w="3600" w:type="dxa"/>
            <w:noWrap w:val="false"/>
          </w:tcPr>
          <w:p>
            <w:r>
              <w:rPr>
                <w:sz w:val="20"/>
              </w:rPr>
              <w:t>A bill for an act creating an emeritus license to practice medicine and surgery or osteopathic medicine and surgery.(Formerly SSB 1121.)</w:t>
            </w:r>
          </w:p>
        </w:tc>
        <w:tc>
          <w:tcPr>
            <w:tcW w:w="4320" w:type="dxa"/>
            <w:shd w:val="clear" w:color="auto" w:fill="FFFF66" w:themeFillTint="30"/>
            <w:noWrap w:val="false"/>
          </w:tcPr>
          <w:p>
            <w:r>
              <w:rPr>
                <w:sz w:val="20"/>
              </w:rPr>
              <w:t>Pursuant to Rule 31.7, referred to Ways and Means. (4/1/25)</w:t>
            </w:r>
            <w:br/>
            <w:r>
              <w:rPr>
                <w:sz w:val="20"/>
              </w:rPr>
              <w:t>Passed Senate, yeas 40, nays 6. (3/17/25)</w:t>
            </w:r>
          </w:p>
        </w:tc>
        <w:tc>
          <w:tcPr>
            <w:tcW w:w="4320" w:type="dxa"/>
            <w:noWrap w:val="false"/>
          </w:tcPr>
          <w:p>
            <w:pPr>
              <w:spacing w:before="0" w:after="0"/>
            </w:pPr>
            <w:r>
              <w:t>Monitor/Undecided</w:t>
            </w:r>
          </w:p>
          <w:p>
            <w:pPr>
              <w:spacing w:before="0" w:after="0"/>
            </w:pPr>
            <w:r>
              <w:t>House sub on 3/25. Iowa Medical Society, which is supportive, had some comments about the CME portion of the bill. They also commented that current licensing requirements are hindering people from staying in the profession and their members have concerns about CME requirements. Iowa Mental Health Advocacy is also supportive, but said they believe CME is important have concerns about removing those requirements altogether. Rep. Baeth wanted to know what other states and said that it is important we don't explicitly waive learning updated medicine, a lot can change in a few months or years. Rep. Ingels wanted to know what the current cost of licensure is, but DIAL didn't have the answer. Passed house sub.</w:t>
            </w:r>
          </w:p>
          <w:p>
            <w:pPr>
              <w:spacing w:before="0" w:after="0"/>
            </w:pPr>
            <w:r>
              <w:t/>
            </w:r>
          </w:p>
        </w:tc>
      </w:tr>
      <w:tr>
        <w:trPr>
          <w:cantSplit w:val="true"/>
        </w:trPr>
        <w:tc>
          <w:tcPr>
            <w:tcW w:w="2160" w:type="dxa"/>
            <w:noWrap w:val="false"/>
          </w:tcPr>
          <w:p>
            <w:hyperlink r:id="rId10">
              <w:r>
                <w:rPr>
                  <w:rStyle w:val="Hyperlink"/>
                  <w:color w:val="0000FF"/>
                </w:rPr>
                <w:t xml:space="preserve">SF 615</w:t>
              </w:r>
            </w:hyperlink>
          </w:p>
        </w:tc>
        <w:tc>
          <w:tcPr>
            <w:tcW w:w="3600" w:type="dxa"/>
            <w:noWrap w:val="false"/>
          </w:tcPr>
          <w:p>
            <w:r>
              <w:rPr>
                <w:sz w:val="20"/>
              </w:rPr>
              <w:t>A bill for an act relating to work requirements for the Iowa health and wellness plan, public assistance programs, an information technology fund, the public assistance modernization fund, and the Medicaid for employed people with disabilities program, and including effective date provisions.(Formerly SF 599, SF 363.)</w:t>
            </w:r>
          </w:p>
        </w:tc>
        <w:tc>
          <w:tcPr>
            <w:tcW w:w="4320" w:type="dxa"/>
            <w:shd w:val="clear" w:color="auto" w:fill="FFFF66" w:themeFillTint="30"/>
            <w:noWrap w:val="false"/>
          </w:tcPr>
          <w:p>
            <w:r>
              <w:rPr>
                <w:sz w:val="20"/>
              </w:rPr>
              <w:t>Fiscal note. (3/28/25)</w:t>
            </w:r>
            <w:br/>
            <w:r>
              <w:rPr>
                <w:sz w:val="20"/>
              </w:rPr>
              <w:t>Passed Senate, yeas 33, nays 15. (3/25/25)</w:t>
            </w:r>
            <w:br/>
            <w:r>
              <w:rPr>
                <w:sz w:val="20"/>
              </w:rPr>
              <w:t>Passed House, yeas 61, nays 35. (3/26/25)</w:t>
            </w:r>
          </w:p>
        </w:tc>
        <w:tc>
          <w:tcPr>
            <w:tcW w:w="4320" w:type="dxa"/>
            <w:noWrap w:val="false"/>
          </w:tcPr>
          <w:p>
            <w:pPr>
              <w:spacing w:before="0" w:after="0"/>
            </w:pPr>
            <w:r>
              <w:t>Track (no public position, but follow it)</w:t>
            </w:r>
          </w:p>
        </w:tc>
      </w:tr>
    </w:tbl>
    <w:p>
      <w:r>
        <w:rPr>
          <w:sz w:val="24"/>
        </w:rPr>
        <w:t/>
      </w:r>
    </w:p>
    <w:p>
      <w:pPr>
        <w:spacing w:before="0" w:after="0"/>
      </w:pPr>
      <w:r>
        <w:rPr>
          <w:b w:val="true"/>
          <w:sz w:val="36"/>
          <w:u w:val="single"/>
        </w:rPr>
        <w:t>Funneled Bills</w:t>
      </w:r>
    </w:p>
    <w:p>
      <w:r>
        <w:rPr>
          <w:sz w:val="36"/>
        </w:rPr>
        <w:t/>
      </w:r>
    </w:p>
    <w:tbl>
      <w:tblPr>
        <w:tblStyle w:val="TableGrid"/>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tblPr>
      <w:tblGrid>
        <w:gridCol w:w="2160"/>
        <w:gridCol w:w="3600"/>
        <w:gridCol w:w="4320"/>
        <w:gridCol w:w="4320"/>
      </w:tblGrid>
      <w:tr>
        <w:trPr>
          <w:tblHeader w:val="true"/>
          <w:cantSplit w:val="true"/>
        </w:trPr>
        <w:tc>
          <w:tcPr>
            <w:tcW w:w="2160" w:type="dxa"/>
            <w:shd w:val="clear" w:color="auto" w:fill="8EB4E0"/>
          </w:tcPr>
          <w:p>
            <w:pPr>
              <w:jc w:val="left"/>
            </w:pPr>
            <w:r>
              <w:rPr>
                <w:b w:val="true"/>
                <w:sz w:val="22"/>
              </w:rPr>
              <w:t>BILL</w:t>
            </w:r>
          </w:p>
        </w:tc>
        <w:tc>
          <w:tcPr>
            <w:tcW w:type="right"/>
            <w:shd w:val="clear" w:color="auto" w:fill="8EB4E0"/>
          </w:tcPr>
          <w:p>
            <w:pPr>
              <w:jc w:val="left"/>
            </w:pPr>
            <w:r>
              <w:rPr>
                <w:b w:val="true"/>
                <w:sz w:val="22"/>
              </w:rPr>
              <w:t>DESCRIPTION</w:t>
            </w:r>
          </w:p>
        </w:tc>
        <w:tc>
          <w:tcPr>
            <w:tcW w:type="right"/>
            <w:shd w:val="clear" w:color="auto" w:fill="8EB4E0"/>
          </w:tcPr>
          <w:p>
            <w:pPr>
              <w:jc w:val="left"/>
            </w:pPr>
            <w:r>
              <w:rPr>
                <w:b w:val="true"/>
                <w:sz w:val="22"/>
              </w:rPr>
              <w:t>STATUS</w:t>
            </w:r>
          </w:p>
        </w:tc>
        <w:tc>
          <w:tcPr>
            <w:tcW w:type="right"/>
            <w:shd w:val="clear" w:color="auto" w:fill="8EB4E0"/>
          </w:tcPr>
          <w:p>
            <w:pPr>
              <w:jc w:val="left"/>
            </w:pPr>
            <w:r>
              <w:rPr>
                <w:b w:val="true"/>
                <w:sz w:val="22"/>
              </w:rPr>
              <w:t>NOTE</w:t>
            </w:r>
          </w:p>
        </w:tc>
      </w:tr>
      <w:tr>
        <w:trPr>
          <w:cantSplit w:val="true"/>
        </w:trPr>
        <w:tc>
          <w:tcPr>
            <w:tcW w:w="2160" w:type="dxa"/>
            <w:noWrap w:val="false"/>
          </w:tcPr>
          <w:p>
            <w:hyperlink r:id="rId11">
              <w:r>
                <w:rPr>
                  <w:rStyle w:val="Hyperlink"/>
                  <w:color w:val="0000FF"/>
                </w:rPr>
                <w:t xml:space="preserve">HSB 96</w:t>
              </w:r>
            </w:hyperlink>
          </w:p>
        </w:tc>
        <w:tc>
          <w:tcPr>
            <w:tcW w:w="3600" w:type="dxa"/>
            <w:noWrap w:val="false"/>
          </w:tcPr>
          <w:p>
            <w:r>
              <w:rPr>
                <w:sz w:val="20"/>
              </w:rPr>
              <w:t>A bill for an act relating to permissible local sales and services tax expenditures.</w:t>
            </w:r>
          </w:p>
        </w:tc>
        <w:tc>
          <w:tcPr>
            <w:tcW w:w="4320" w:type="dxa"/>
            <w:shd w:val="clear" w:color="auto" w:fill="FF8080" w:themeFillTint="30"/>
            <w:noWrap w:val="false"/>
          </w:tcPr>
          <w:p>
            <w:r>
              <w:rPr>
                <w:sz w:val="20"/>
              </w:rPr>
              <w:t>Subcommittee recommends passage. (1/29/25)</w:t>
            </w:r>
          </w:p>
        </w:tc>
        <w:tc>
          <w:tcPr>
            <w:tcW w:w="4320" w:type="dxa"/>
            <w:noWrap w:val="false"/>
          </w:tcPr>
          <w:p>
            <w:pPr>
              <w:spacing w:before="0" w:after="0"/>
            </w:pPr>
            <w:r>
              <w:t>Support/For</w:t>
            </w:r>
          </w:p>
          <w:p>
            <w:pPr>
              <w:spacing w:before="0" w:after="0"/>
            </w:pPr>
            <w:r>
              <w:t>Bill introduced by Rep. Jones. The bill specifies that local sales and services tax moneys received by a city or county may be expended to a nonprofit entity exemption from income tax under Section 501(c)3 of the Internal Revenue Code that is providing public services in the applicable city or county. Subcommittee members were Reps. Wengryn, Determann, &amp; Gosa. Passed.</w:t>
            </w:r>
          </w:p>
          <w:p>
            <w:pPr>
              <w:spacing w:before="0" w:after="0"/>
            </w:pPr>
            <w:r>
              <w:t/>
            </w:r>
          </w:p>
        </w:tc>
      </w:tr>
    </w:tbl>
    <w:sectPr>
      <w:headerReference w:type="default" r:id="rId2"/>
      <w:footerReference w:type="default" r:id="rId3"/>
      <w:type w:val="nextPage"/>
      <w:pgSz w:w="15840" w:h="12240" w:orient="landscape"/>
      <w:pgMar w:top="1221" w:right="720" w:bottom="720" w:left="720" w:header="432" w:footer="288" w:gutter="0"/>
      <w:pgNumType w:fmt="decimal"/>
      <w:formProt w:val="false"/>
      <w:textDirection w:val="lrTb"/>
      <w:docGrid w:type="default" w:linePitch="100" w:charSpace="0"/>
    </w:sectPr>
  </w:body>
</w:document>
</file>

<file path=word/fontTable.xml><?xml version="1.0" encoding="utf-8"?>
<w:font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Calibri">
    <w:charset w:val="01"/>
    <w:family w:val="roman"/>
    <w:pitch w:val="variable"/>
  </w:font>
  <w:font w:name="Cambria">
    <w:charset w:val="01"/>
    <w:family w:val="roman"/>
    <w:pitch w:val="variable"/>
  </w:font>
</w:fonts>
</file>

<file path=word/footer1.xml><?xml version="1.0" encoding="utf-8"?>
<w:ft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Footer"/>
      <w:spacing w:before="0" w:after="120"/>
      <w:jc w:val="center"/>
      <w:rPr/>
    </w:pPr>
    <w:r>
      <w:rPr>
        <w:rFonts w:ascii="Cambria" w:hAnsi="Cambria"/>
      </w:rPr>
      <w:t xml:space="preserve">PAGE </w:t>
    </w:r>
    <w:r>
      <w:rPr/>
      <w:fldChar w:fldCharType="begin"/>
    </w:r>
    <w:r>
      <w:rPr/>
      <w:instrText> PAGE </w:instrText>
    </w:r>
    <w:r>
      <w:rPr/>
      <w:fldChar w:fldCharType="separate"/>
    </w:r>
    <w:r>
      <w:rPr/>
      <w:t>1</w:t>
    </w:r>
    <w:r>
      <w:rPr/>
      <w:fldChar w:fldCharType="end"/>
    </w:r>
    <w:r>
      <w:rPr>
        <w:rFonts w:ascii="Cambria" w:hAnsi="Cambria"/>
        <w:sz w:val="18"/>
        <w:szCs w:val="18"/>
      </w:rPr>
      <w:t xml:space="preserve"> - </w:t>
    </w:r>
    <w:r>
      <w:rPr/>
      <w:fldChar w:fldCharType="begin"/>
    </w:r>
    <w:r>
      <w:rPr/>
      <w:instrText> DATE \@"M\/d\/yy" </w:instrText>
    </w:r>
    <w:r>
      <w:rPr/>
      <w:fldChar w:fldCharType="separate"/>
    </w:r>
    <w:r>
      <w:rPr/>
      <w:t>2/15/24</w:t>
    </w:r>
    <w:r>
      <w:rPr/>
      <w:fldChar w:fldCharType="end"/>
    </w:r>
  </w:p>
</w:ftr>
</file>

<file path=word/header1.xml><?xml version="1.0" encoding="utf-8"?>
<w:hdr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p>
    <w:pPr>
      <w:pStyle w:val="Header"/>
      <w:rPr/>
    </w:pPr>
    <w:r>
      <w:drawing>
        <wp:anchor distT="0" distB="0" distL="0" distR="0" simplePos="false" relativeHeight="2" behindDoc="false" locked="false" layoutInCell="false" allowOverlap="true">
          <wp:simplePos x="0" y="0"/>
          <wp:positionH relativeFrom="column">
            <wp:posOffset>-114300</wp:posOffset>
          </wp:positionH>
          <wp:positionV relativeFrom="paragraph">
            <wp:posOffset>-33020</wp:posOffset>
          </wp:positionV>
          <wp:extent cx="2038350" cy="743585"/>
          <wp:effectExtent l="0" t="0" r="0" b="0"/>
          <wp:wrapTight wrapText="bothSides">
            <wp:wrapPolygon edited="false">
              <wp:start x="-107" y="0"/>
              <wp:lineTo x="-107" y="21095"/>
              <wp:lineTo x="21436" y="21095"/>
              <wp:lineTo x="21436" y="0"/>
              <wp:lineTo x="-107" y="0"/>
            </wp:wrapPolygon>
          </wp:wrapTight>
          <wp:docPr id="1" name="Image1" descr=""/>
          <wp:cNvGraphicFramePr>
            <a:graphicFrameLocks noChangeAspect="true"/>
          </wp:cNvGraphicFramePr>
          <a:graphic>
            <a:graphicData uri="http://schemas.openxmlformats.org/drawingml/2006/picture">
              <pic:pic>
                <pic:nvPicPr>
                  <pic:cNvPr id="1" name="Image1" descr=""/>
                  <pic:cNvPicPr>
                    <a:picLocks noChangeAspect="true" noChangeArrowheads="true"/>
                  </pic:cNvPicPr>
                </pic:nvPicPr>
                <pic:blipFill>
                  <a:blip r:embed="rId1"/>
                  <a:stretch>
                    <a:fillRect/>
                  </a:stretch>
                </pic:blipFill>
                <pic:spPr bwMode="auto">
                  <a:xfrm>
                    <a:off x="0" y="0"/>
                    <a:ext cx="2038350" cy="743585"/>
                  </a:xfrm>
                  <a:prstGeom prst="rect">
                    <a:avLst/>
                  </a:prstGeom>
                </pic:spPr>
              </pic:pic>
            </a:graphicData>
          </a:graphic>
        </wp:anchor>
      </w:drawing>
    </w:r>
    <w:r>
      <w:rPr/>
      <w:t xml:space="preserve">   </w:t>
    </w:r>
  </w:p>
  <w:p>
    <w:pPr>
      <w:pStyle w:val="Header"/>
      <w:jc w:val="center"/>
      <w:rPr/>
    </w:pPr>
    <w:r>
      <w:rPr/>
      <w:t xml:space="preserve">                                                      </w:t>
    </w:r>
    <w:r>
      <w:rPr>
        <w:b/>
        <w:bCs/>
        <w:sz w:val="32"/>
        <w:szCs w:val="32"/>
      </w:rPr>
      <w:t>Free Clinics of Iowa 2025 Bill Tracker</w:t>
    </w:r>
  </w:p>
  <w:p>
    <w:pPr>
      <w:pStyle w:val="Header"/>
      <w:jc w:val="center"/>
      <w:rPr>
        <w:b/>
        <w:bCs/>
        <w:sz w:val="32"/>
        <w:szCs w:val="32"/>
      </w:rPr>
    </w:pPr>
    <w:r>
      <w:rPr>
        <w:b/>
        <w:bCs/>
        <w:sz w:val="32"/>
        <w:szCs w:val="32"/>
      </w:rPr>
    </w:r>
  </w:p>
  <w:p>
    <w:pPr>
      <w:pStyle w:val="Header"/>
      <w:jc w:val="center"/>
      <w:rPr>
        <w:b/>
        <w:bCs/>
        <w:sz w:val="24"/>
        <w:szCs w:val="24"/>
      </w:rPr>
    </w:pPr>
    <w:r>
      <w:rPr>
        <w:b/>
        <w:bCs/>
        <w:sz w:val="24"/>
        <w:szCs w:val="24"/>
      </w:rPr>
    </w:r>
  </w:p>
</w:hdr>
</file>

<file path=word/settings.xml><?xml version="1.0" encoding="utf-8"?>
<w:setting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imes New Roman" w:hAnsi="Times New Roman" w:eastAsia="Arial Unicode MS" w:cs="Times New Roman"/>
        <w:lang w:val="en-US" w:eastAsia="zh-CN" w:bidi="hi-IN"/>
      </w:rPr>
    </w:rPrDefault>
    <w:pPrDefault>
      <w:pPr>
        <w:suppressAutoHyphens w:val="true"/>
      </w:pPr>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pPr>
      <w:widowControl/>
      <w:suppressAutoHyphens w:val="false"/>
      <w:bidi w:val="false"/>
      <w:spacing w:before="0" w:after="0"/>
      <w:jc w:val="left"/>
    </w:pPr>
    <w:rPr>
      <w:rFonts w:ascii="Gill Sans MT" w:hAnsi="Times New Roman" w:eastAsia="Arial Unicode MS" w:cs="Times New Roman"/>
      <w:color w:val="auto"/>
      <w:kern w:val="0"/>
      <w:sz w:val="24"/>
      <w:szCs w:val="24"/>
      <w:u w:val="none" w:color="FFFFFF"/>
      <w:lang w:val="en-US" w:eastAsia="en-US" w:bidi="ar-SA"/>
    </w:rPr>
  </w:style>
  <w:style w:type="character" w:styleId="DefaultParagraphFont" w:default="true">
    <w:name w:val="Default Paragraph Font"/>
    <w:uiPriority w:val="1"/>
    <w:semiHidden/>
    <w:unhideWhenUsed/>
    <w:qFormat/>
    <w:rPr/>
  </w:style>
  <w:style w:type="character" w:styleId="InternetLink">
    <w:name w:val="Hyperlink"/>
    <w:rPr>
      <w:rFonts w:ascii="Gill Sans MT"/>
      <w:b w:val="true"/>
      <w:color w:val="000000"/>
      <w:sz w:val="22"/>
      <w:u w:val="single" w:color="000000"/>
    </w:rPr>
  </w:style>
  <w:style w:type="paragraph" w:styleId="Heading" w:customStyle="true">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before="0" w:after="140" w:line="276" w:lineRule="auto"/>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customStyle="true">
    <w:name w:val="Index"/>
    <w:basedOn w:val="Normal"/>
    <w:qFormat/>
    <w:pPr>
      <w:suppressLineNumbers/>
    </w:pPr>
    <w:rPr>
      <w:rFonts w:cs="Arial Unicode MS"/>
    </w:rPr>
  </w:style>
  <w:style w:type="paragraph" w:styleId="Caption1">
    <w:name w:val="caption"/>
    <w:basedOn w:val="Normal"/>
    <w:qFormat/>
    <w:pPr>
      <w:suppressLineNumbers/>
      <w:spacing w:before="120" w:after="120"/>
    </w:pPr>
    <w:rPr>
      <w:rFonts w:cs="Arial Unicode MS"/>
      <w:i/>
      <w:iCs/>
    </w:rPr>
  </w:style>
  <w:style w:type="paragraph" w:styleId="Body" w:customStyle="true">
    <w:name w:val="Body"/>
    <w:qFormat/>
    <w:pPr>
      <w:widowControl/>
      <w:suppressAutoHyphens w:val="true"/>
      <w:bidi w:val="false"/>
      <w:spacing w:before="0" w:after="120" w:line="276" w:lineRule="auto"/>
      <w:jc w:val="left"/>
    </w:pPr>
    <w:rPr>
      <w:rFonts w:ascii="Calibri" w:hAnsi="Calibri" w:eastAsia="Arial Unicode MS" w:cs="Arial Unicode MS"/>
      <w:color w:val="00000A"/>
      <w:kern w:val="0"/>
      <w:sz w:val="22"/>
      <w:szCs w:val="22"/>
      <w:u w:val="none" w:color="00000A"/>
      <w:lang w:val="de-DE" w:eastAsia="zh-CN" w:bidi="hi-IN"/>
    </w:rPr>
  </w:style>
  <w:style w:type="paragraph" w:styleId="HeaderandFooter" w:customStyle="true">
    <w:name w:val="Header and Footer"/>
    <w:basedOn w:val="Normal"/>
    <w:qFormat/>
    <w:pPr/>
    <w:rPr/>
  </w:style>
  <w:style w:type="paragraph" w:styleId="Footer">
    <w:name w:val="Footer"/>
    <w:pPr>
      <w:widowControl/>
      <w:tabs>
        <w:tab w:val="clear" w:pos="720"/>
        <w:tab w:val="center" w:leader="none" w:pos="4680"/>
        <w:tab w:val="right" w:leader="none" w:pos="9360"/>
      </w:tabs>
      <w:suppressAutoHyphens w:val="true"/>
      <w:bidi w:val="false"/>
      <w:spacing w:before="0" w:after="0"/>
      <w:jc w:val="left"/>
    </w:pPr>
    <w:rPr>
      <w:rFonts w:ascii="Calibri" w:hAnsi="Calibri" w:eastAsia="Arial Unicode MS" w:cs="Arial Unicode MS"/>
      <w:color w:val="00000A"/>
      <w:kern w:val="0"/>
      <w:sz w:val="22"/>
      <w:szCs w:val="22"/>
      <w:u w:val="none" w:color="00000A"/>
      <w:lang w:val="en-US" w:eastAsia="zh-CN" w:bidi="hi-IN"/>
    </w:rPr>
  </w:style>
  <w:style w:type="paragraph" w:styleId="Header">
    <w:name w:val="Header"/>
    <w:basedOn w:val="HeaderandFooter"/>
    <w:pPr/>
    <w:rPr/>
  </w:style>
  <w:style w:type="numbering" w:styleId="NoList" w:default="true">
    <w:name w:val="No List"/>
    <w:uiPriority w:val="99"/>
    <w:semiHidden/>
    <w:unhideWhenUsed/>
    <w:qFormat/>
  </w:style>
  <w:style w:type="table" w:styleId="TableNormal" w:default="true">
    <w:name w:val="Normal Table"/>
    <w:uiPriority w:val="99"/>
    <w:semiHidden/>
    <w:unhideWhenUsed/>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Relationship Target="header1.xml" Type="http://schemas.openxmlformats.org/officeDocument/2006/relationships/header" Id="rId2"></Relationship><Relationship Target="footer1.xml" Type="http://schemas.openxmlformats.org/officeDocument/2006/relationships/footer" Id="rId3"></Relationship><Relationship Target="fontTable.xml" Type="http://schemas.openxmlformats.org/officeDocument/2006/relationships/fontTable" Id="rId4"></Relationship><Relationship Target="settings.xml" Type="http://schemas.openxmlformats.org/officeDocument/2006/relationships/settings" Id="rId5"></Relationship><Relationship Target="theme/theme1.xml" Type="http://schemas.openxmlformats.org/officeDocument/2006/relationships/theme" Id="rId6"></Relationship><Relationship TargetMode="External" Target="https://www.legis.iowa.gov/legislation/BillBook?ga=91&amp;ba=SF469" Type="http://schemas.openxmlformats.org/officeDocument/2006/relationships/hyperlink" Id="rId7"/><Relationship TargetMode="External" Target="https://www.legis.iowa.gov/legislation/BillBook?ga=91&amp;ba=SF615" Type="http://schemas.openxmlformats.org/officeDocument/2006/relationships/hyperlink" Id="rId8"/><Relationship TargetMode="External" Target="https://www.legis.iowa.gov/legislation/BillBook?ga=91&amp;ba=SF469" Type="http://schemas.openxmlformats.org/officeDocument/2006/relationships/hyperlink" Id="rId9"/><Relationship TargetMode="External" Target="https://www.legis.iowa.gov/legislation/BillBook?ga=91&amp;ba=SF615" Type="http://schemas.openxmlformats.org/officeDocument/2006/relationships/hyperlink" Id="rId10"/><Relationship TargetMode="External" Target="https://www.legis.iowa.gov/legislation/BillBook?ga=91&amp;ba=HSB96" Type="http://schemas.openxmlformats.org/officeDocument/2006/relationships/hyperlink" Id="rId11"/></Relationships>
</file>

<file path=word/_rels/header1.xml.rels><?xml version="1.0" encoding="UTF-8" standalone="yes"?><Relationships xmlns="http://schemas.openxmlformats.org/package/2006/relationships"><Relationship Target="media/image1.jpeg" Type="http://schemas.openxmlformats.org/officeDocument/2006/relationships/image" Id="rId1"></Relationship></Relationships>
</file>

<file path=word/theme/theme1.xml><?xml version="1.0" encoding="utf-8"?>
<a:theme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ns13="urn:schemas-microsoft-com:office:excel" xmlns:o="urn:schemas-microsoft-com:office:office" xmlns:v="urn:schemas-microsoft-com:vm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29999"/>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false">
              <a:srgbClr val="000000">
                <a:alpha val="35000"/>
              </a:srgbClr>
            </a:outerShdw>
          </a:effectLst>
        </a:effectStyle>
        <a:effectStyle>
          <a:effectLst>
            <a:outerShdw blurRad="38100" dist="23000" dir="5400000" rotWithShape="false">
              <a:srgbClr val="000000">
                <a:alpha val="35000"/>
              </a:srgbClr>
            </a:outerShdw>
          </a:effectLst>
        </a:effectStyle>
        <a:effectStyle>
          <a:effectLst>
            <a:outerShdw blurRad="38100" dist="20000" dir="5400000" rotWithShape="false">
              <a:srgbClr val="000000">
                <a:alpha val="38000"/>
              </a:srgbClr>
            </a:outerShdw>
          </a:effectLst>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false">
            <a:srgbClr val="000000">
              <a:alpha val="35000"/>
            </a:srgbClr>
          </a:outerShdw>
        </a:effectLst>
        <a:sp3d/>
      </a:spPr>
      <a:bodyPr rot="0" spcFirstLastPara="true" vertOverflow="overflow" horzOverflow="overflow" vert="horz" wrap="square" lIns="45719" tIns="45719" rIns="45719" bIns="45719" numCol="1" spcCol="38100" rtlCol="false" anchor="ctr">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false">
            <a:srgbClr val="000000">
              <a:alpha val="38000"/>
            </a:srgbClr>
          </a:outerShdw>
        </a:effectLst>
        <a:sp3d/>
      </a:spPr>
      <a:bodyPr rot="0" spcFirstLastPara="true" vertOverflow="overflow" horzOverflow="overflow" vert="horz" wrap="square" lIns="91439" tIns="45719" rIns="91439" bIns="45719" numCol="1" spcCol="38100" rtlCol="false" anchor="t">
        <a:noAutofit/>
      </a:bodyPr>
      <a:lstStyle>
        <a:def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true" vertOverflow="overflow" horzOverflow="overflow" vert="horz" wrap="square" lIns="45719" tIns="45719" rIns="45719" bIns="45719" numCol="1" spcCol="38100" rtlCol="false" anchor="t">
        <a:spAutoFit/>
      </a:bodyPr>
      <a:lstStyle>
        <a:defPPr marL="0" marR="0" indent="0" algn="l" defTabSz="914400" rtl="false" fontAlgn="auto" latinLnBrk="fals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latin typeface="Calibri"/>
            <a:ea typeface="Calibri"/>
            <a:cs typeface="Calibri"/>
            <a:sym typeface="Calibri"/>
          </a:defRPr>
        </a:defPPr>
        <a:lvl1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1pPr>
        <a:lvl2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2pPr>
        <a:lvl3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3pPr>
        <a:lvl4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4pPr>
        <a:lvl5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5pPr>
        <a:lvl6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6pPr>
        <a:lvl7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7pPr>
        <a:lvl8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8pPr>
        <a:lvl9pPr marL="0" marR="0" indent="0" algn="l" defTabSz="914400" rtl="false" fontAlgn="auto" latinLnBrk="true" hangingPunct="false">
          <a:lnSpc>
            <a:spcPct val="100000"/>
          </a:lnSpc>
          <a:spcBef>
            <a:spcPts val="0"/>
          </a:spcBef>
          <a:spcAft>
            <a:spcPts val="0"/>
          </a:spcAft>
          <a:buClrTx/>
          <a:buSzTx/>
          <a:buFontTx/>
          <a:buNone/>
          <a:tabLst/>
          <a:defRPr kumimoji="false" sz="1800" b="false" i="false" u="none" strike="noStrike" cap="none" spc="0" normalizeH="false"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Normal.dotm</properties:Template>
  <properties:Pages>1</properties:Pages>
  <properties:Words>5</properties:Words>
  <properties:Characters>19</properties:Characters>
  <properties:Paragraphs>3</properties:Paragraphs>
  <properties:TotalTime>203</properties:TotalTime>
  <properties:CharactersWithSpaces>79</properties:CharactersWithSpac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2023-11-21T15:17:00Z</dcterms:created>
  <dc:creator>Nick Laning</dc:creator>
  <dc:description/>
  <dc:language>en-US</dc:language>
  <cp:lastModifiedBy>docx4j</cp:lastModifiedBy>
  <dcterms:modified xmlns:xsi="http://www.w3.org/2001/XMLSchema-instance" xsi:type="dcterms:W3CDTF">2024-02-15T13:39:37Z</dcterms:modified>
  <cp:revision>11</cp:revision>
  <dc:subject/>
  <dc:title/>
</cp:coreProperties>
</file>

<file path=docProps/custom.xml><?xml version="1.0" encoding="utf-8"?>
<prop:Properties xmlns:vt="http://schemas.openxmlformats.org/officeDocument/2006/docPropsVTypes" xmlns:prop="http://schemas.openxmlformats.org/officeDocument/2006/custom-properties"/>
</file>