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ContentType="application/vnd.openxmlformats-package.relationships+xml" PartName="/_rels/.rels"/>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package.relationships+xml" PartName="/word/_rels/document.xml.rels"/>
  <Override ContentType="application/vnd.openxmlformats-package.relationships+xml" PartName="/word/_rels/header1.xml.rels"/>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image/jpeg" PartName="/word/media/image1.jpe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Target="docProps/core.xml" Type="http://schemas.openxmlformats.org/package/2006/relationships/metadata/core-properties" Id="rId1"></Relationship><Relationship Target="docProps/app.xml" Type="http://schemas.openxmlformats.org/officeDocument/2006/relationships/extended-properties" Id="rId2"></Relationship><Relationship Target="docProps/custom.xml" Type="http://schemas.openxmlformats.org/officeDocument/2006/relationships/custom-properties" Id="rId3"></Relationship><Relationship Target="word/document.xml" Type="http://schemas.openxmlformats.org/officeDocument/2006/relationships/officeDocument" Id="rId4"></Relationship></Relationships>
</file>

<file path=word/document.xml><?xml version="1.0" encoding="utf-8"?>
<w:document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body>
    <w:p>
      <w:pPr>
        <w:pStyle w:val="Body"/>
        <w:spacing w:before="0" w:after="0" w:line="240" w:lineRule="auto"/>
        <w:rPr/>
      </w:pPr>
      <w:r>
        <w:rPr/>
      </w:r>
    </w:p>
    <w:p>
      <w:r>
        <w:rPr>
          <w:sz w:val="24"/>
        </w:rPr>
        <w:t/>
      </w:r>
    </w:p>
    <w:p>
      <w:pPr>
        <w:spacing w:before="0" w:after="0"/>
      </w:pPr>
      <w:r>
        <w:rPr>
          <w:b w:val="true"/>
          <w:sz w:val="36"/>
          <w:u w:val="single"/>
        </w:rPr>
        <w:t>Client Activities This Week</w:t>
      </w:r>
    </w:p>
    <w:p>
      <w:r>
        <w:rPr>
          <w:sz w:val="36"/>
        </w:rPr>
        <w:t/>
      </w:r>
    </w:p>
    <w:p>
      <w:r>
        <w:rPr>
          <w:sz w:val="28"/>
        </w:rPr>
        <w:t>Had conversations with Keith (UI) this week about the 10 committed spots for graduates in the rural incentive/recruitment program. They are not getting any traction with changes either but are planning to take the request to HHS - Kelly after session. </w:t>
      </w:r>
    </w:p>
    <w:p>
      <w:r>
        <w:rPr>
          <w:sz w:val="28"/>
        </w:rPr>
        <w:t/>
      </w:r>
    </w:p>
    <w:p>
      <w:r>
        <w:rPr>
          <w:sz w:val="28"/>
        </w:rPr>
        <w:t>We spoke with Klimesh and Costello again about adding in OT, PA, and PT and others into the language, but the Gov has everyone locked into not making any changes. More of the same commentary. </w:t>
      </w:r>
    </w:p>
    <w:p>
      <w:r>
        <w:rPr>
          <w:sz w:val="28"/>
        </w:rPr>
        <w:t/>
      </w:r>
    </w:p>
    <w:p>
      <w:r>
        <w:rPr>
          <w:sz w:val="28"/>
        </w:rPr>
        <w:t>We distributed information to the Senate HHS Committee requesting DMU come out of the 3yr medical program study. Democrats and Sen Lofgren voted against the bill, but it's still moving forward despite our several attempts to come out of the bill.</w:t>
      </w:r>
    </w:p>
    <w:p>
      <w:r>
        <w:rPr>
          <w:sz w:val="24"/>
        </w:rPr>
        <w:t/>
      </w:r>
    </w:p>
    <w:p>
      <w:pPr>
        <w:spacing w:before="0" w:after="0"/>
      </w:pPr>
      <w:r>
        <w:rPr>
          <w:b w:val="true"/>
          <w:sz w:val="36"/>
          <w:u w:val="single"/>
        </w:rPr>
        <w:t>Alive Bills</w:t>
      </w:r>
    </w:p>
    <w:p>
      <w:r>
        <w:rPr>
          <w:sz w:val="36"/>
        </w:rPr>
        <w:t/>
      </w:r>
    </w:p>
    <w:tbl>
      <w:tblPr>
        <w:tblStyle w:val="TableGrid"/>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tblPr>
      <w:tblGrid>
        <w:gridCol w:w="2160"/>
        <w:gridCol w:w="3600"/>
        <w:gridCol w:w="4320"/>
        <w:gridCol w:w="4320"/>
      </w:tblGrid>
      <w:tr>
        <w:trPr>
          <w:tblHeader w:val="true"/>
          <w:cantSplit w:val="true"/>
        </w:trPr>
        <w:tc>
          <w:tcPr>
            <w:tcW w:w="2160" w:type="dxa"/>
            <w:shd w:val="clear" w:color="auto" w:fill="8EB4E0"/>
          </w:tcPr>
          <w:p>
            <w:pPr>
              <w:jc w:val="left"/>
            </w:pPr>
            <w:r>
              <w:rPr>
                <w:b w:val="true"/>
                <w:sz w:val="22"/>
              </w:rPr>
              <w:t>BILL</w:t>
            </w:r>
          </w:p>
        </w:tc>
        <w:tc>
          <w:tcPr>
            <w:tcW w:type="right"/>
            <w:shd w:val="clear" w:color="auto" w:fill="8EB4E0"/>
          </w:tcPr>
          <w:p>
            <w:pPr>
              <w:jc w:val="left"/>
            </w:pPr>
            <w:r>
              <w:rPr>
                <w:b w:val="true"/>
                <w:sz w:val="22"/>
              </w:rPr>
              <w:t>DESCRIPTION</w:t>
            </w:r>
          </w:p>
        </w:tc>
        <w:tc>
          <w:tcPr>
            <w:tcW w:type="right"/>
            <w:shd w:val="clear" w:color="auto" w:fill="8EB4E0"/>
          </w:tcPr>
          <w:p>
            <w:pPr>
              <w:jc w:val="left"/>
            </w:pPr>
            <w:r>
              <w:rPr>
                <w:b w:val="true"/>
                <w:sz w:val="22"/>
              </w:rPr>
              <w:t>STATUS</w:t>
            </w:r>
          </w:p>
        </w:tc>
        <w:tc>
          <w:tcPr>
            <w:tcW w:type="right"/>
            <w:shd w:val="clear" w:color="auto" w:fill="8EB4E0"/>
          </w:tcPr>
          <w:p>
            <w:pPr>
              <w:jc w:val="left"/>
            </w:pPr>
            <w:r>
              <w:rPr>
                <w:b w:val="true"/>
                <w:sz w:val="22"/>
              </w:rPr>
              <w:t>NOTE</w:t>
            </w:r>
          </w:p>
        </w:tc>
      </w:tr>
      <w:tr>
        <w:trPr>
          <w:cantSplit w:val="true"/>
        </w:trPr>
        <w:tc>
          <w:tcPr>
            <w:tcW w:w="2160" w:type="dxa"/>
            <w:noWrap w:val="false"/>
          </w:tcPr>
          <w:p>
            <w:hyperlink r:id="rId7">
              <w:r>
                <w:rPr>
                  <w:rStyle w:val="Hyperlink"/>
                  <w:color w:val="0000FF"/>
                </w:rPr>
                <w:t xml:space="preserve">HF 300</w:t>
              </w:r>
            </w:hyperlink>
          </w:p>
          <w:p>
            <w:hyperlink r:id="rId8">
              <w:r>
                <w:rPr>
                  <w:rStyle w:val="Hyperlink"/>
                  <w:color w:val="0000FF"/>
                </w:rPr>
                <w:t xml:space="preserve">CO:SF 312</w:t>
              </w:r>
            </w:hyperlink>
          </w:p>
        </w:tc>
        <w:tc>
          <w:tcPr>
            <w:tcW w:w="3600" w:type="dxa"/>
            <w:noWrap w:val="false"/>
          </w:tcPr>
          <w:p>
            <w:r>
              <w:rPr>
                <w:sz w:val="20"/>
              </w:rPr>
              <w:t>A bill for an act enacting the physician assistant licensure compact. (Formerly HSB 87.) Effective date: 07/01/2025</w:t>
            </w:r>
          </w:p>
        </w:tc>
        <w:tc>
          <w:tcPr>
            <w:tcW w:w="4320" w:type="dxa"/>
            <w:noWrap w:val="false"/>
          </w:tcPr>
          <w:p>
            <w:r>
              <w:rPr>
                <w:sz w:val="20"/>
              </w:rPr>
              <w:t>Message from Senate. (3/26/25)</w:t>
            </w:r>
            <w:br/>
            <w:r>
              <w:rPr>
                <w:sz w:val="20"/>
              </w:rPr>
              <w:t>Passed House, yeas 88, nays 0. (3/10/25)</w:t>
            </w:r>
            <w:br/>
            <w:r>
              <w:rPr>
                <w:sz w:val="20"/>
              </w:rPr>
              <w:t>Passed Senate, yeas 47, nays 0. (3/26/25)</w:t>
            </w:r>
          </w:p>
        </w:tc>
        <w:tc>
          <w:tcPr>
            <w:tcW w:w="4320" w:type="dxa"/>
            <w:noWrap w:val="false"/>
          </w:tcPr>
          <w:p>
            <w:pPr>
              <w:spacing w:before="0" w:after="0"/>
            </w:pPr>
            <w:r>
              <w:t>Support/For</w:t>
            </w:r>
          </w:p>
        </w:tc>
      </w:tr>
      <w:tr>
        <w:trPr>
          <w:cantSplit w:val="true"/>
        </w:trPr>
        <w:tc>
          <w:tcPr>
            <w:tcW w:w="2160" w:type="dxa"/>
            <w:noWrap w:val="false"/>
          </w:tcPr>
          <w:p>
            <w:hyperlink r:id="rId9">
              <w:r>
                <w:rPr>
                  <w:rStyle w:val="Hyperlink"/>
                  <w:color w:val="0000FF"/>
                </w:rPr>
                <w:t xml:space="preserve">HF 310</w:t>
              </w:r>
            </w:hyperlink>
          </w:p>
        </w:tc>
        <w:tc>
          <w:tcPr>
            <w:tcW w:w="3600" w:type="dxa"/>
            <w:noWrap w:val="false"/>
          </w:tcPr>
          <w:p>
            <w:r>
              <w:rPr>
                <w:sz w:val="20"/>
              </w:rPr>
              <w:t>A bill for an act relating to assaults on persons engaged in certain occupations including a health care provider, and making penalties applicable.(Formerly HSB 9.)</w:t>
            </w:r>
          </w:p>
        </w:tc>
        <w:tc>
          <w:tcPr>
            <w:tcW w:w="4320" w:type="dxa"/>
            <w:shd w:val="clear" w:color="auto" w:fill="FFFF66" w:themeFillTint="30"/>
            <w:noWrap w:val="false"/>
          </w:tcPr>
          <w:p>
            <w:r>
              <w:rPr>
                <w:sz w:val="20"/>
              </w:rPr>
              <w:t>Placed on calendar. (4/3/25)</w:t>
            </w:r>
            <w:br/>
            <w:r>
              <w:rPr>
                <w:sz w:val="20"/>
              </w:rPr>
              <w:t>Passed House , yeas 89, nays 0. (3/10/25)</w:t>
            </w:r>
          </w:p>
        </w:tc>
        <w:tc>
          <w:tcPr>
            <w:tcW w:w="4320" w:type="dxa"/>
            <w:noWrap w:val="false"/>
          </w:tcPr>
          <w:p>
            <w:pPr>
              <w:spacing w:before="0" w:after="0"/>
            </w:pPr>
            <w:r>
              <w:t>Monitor/Undecided</w:t>
            </w:r>
          </w:p>
        </w:tc>
      </w:tr>
      <w:tr>
        <w:trPr>
          <w:cantSplit w:val="true"/>
        </w:trPr>
        <w:tc>
          <w:tcPr>
            <w:tcW w:w="2160" w:type="dxa"/>
            <w:noWrap w:val="false"/>
          </w:tcPr>
          <w:p>
            <w:hyperlink r:id="rId10">
              <w:r>
                <w:rPr>
                  <w:rStyle w:val="Hyperlink"/>
                  <w:color w:val="0000FF"/>
                </w:rPr>
                <w:t xml:space="preserve">HF 386</w:t>
              </w:r>
            </w:hyperlink>
          </w:p>
          <w:p>
            <w:hyperlink r:id="rId11">
              <w:r>
                <w:rPr>
                  <w:rStyle w:val="Hyperlink"/>
                  <w:color w:val="0000FF"/>
                </w:rPr>
                <w:t xml:space="preserve">CO:HF 146</w:t>
              </w:r>
            </w:hyperlink>
          </w:p>
        </w:tc>
        <w:tc>
          <w:tcPr>
            <w:tcW w:w="3600" w:type="dxa"/>
            <w:noWrap w:val="false"/>
          </w:tcPr>
          <w:p>
            <w:r>
              <w:rPr>
                <w:sz w:val="20"/>
              </w:rPr>
              <w:t>A bill for an act providing for a study of transitioning certain medical schools in Iowa from four-year programs to three-year programs.(Formerly HF 146.)</w:t>
            </w:r>
          </w:p>
        </w:tc>
        <w:tc>
          <w:tcPr>
            <w:tcW w:w="4320" w:type="dxa"/>
            <w:shd w:val="clear" w:color="auto" w:fill="FFFF66" w:themeFillTint="30"/>
            <w:noWrap w:val="false"/>
          </w:tcPr>
          <w:p>
            <w:r>
              <w:rPr>
                <w:sz w:val="20"/>
              </w:rPr>
              <w:t>Placed on calendar. (4/3/25)</w:t>
            </w:r>
            <w:br/>
            <w:r>
              <w:rPr>
                <w:sz w:val="20"/>
              </w:rPr>
              <w:t>Passed House , yeas 91, nays 4. (3/12/25)</w:t>
            </w:r>
          </w:p>
        </w:tc>
        <w:tc>
          <w:tcPr>
            <w:tcW w:w="4320" w:type="dxa"/>
            <w:noWrap w:val="false"/>
          </w:tcPr>
          <w:p>
            <w:pPr>
              <w:spacing w:before="0" w:after="0"/>
            </w:pPr>
            <w:r>
              <w:t>Monitor/Undecided</w:t>
            </w:r>
          </w:p>
        </w:tc>
      </w:tr>
      <w:tr>
        <w:trPr>
          <w:cantSplit w:val="true"/>
        </w:trPr>
        <w:tc>
          <w:tcPr>
            <w:tcW w:w="2160" w:type="dxa"/>
            <w:noWrap w:val="false"/>
          </w:tcPr>
          <w:p>
            <w:hyperlink r:id="rId12">
              <w:r>
                <w:rPr>
                  <w:rStyle w:val="Hyperlink"/>
                  <w:color w:val="0000FF"/>
                </w:rPr>
                <w:t xml:space="preserve">HF 571</w:t>
              </w:r>
            </w:hyperlink>
          </w:p>
          <w:p>
            <w:hyperlink r:id="rId13">
              <w:r>
                <w:rPr>
                  <w:rStyle w:val="Hyperlink"/>
                  <w:color w:val="0000FF"/>
                </w:rPr>
                <w:t xml:space="preserve">CO:SF 220</w:t>
              </w:r>
            </w:hyperlink>
          </w:p>
        </w:tc>
        <w:tc>
          <w:tcPr>
            <w:tcW w:w="3600" w:type="dxa"/>
            <w:noWrap w:val="false"/>
          </w:tcPr>
          <w:p>
            <w:r>
              <w:rPr>
                <w:sz w:val="20"/>
              </w:rPr>
              <w:t>A bill for an act relating to protections for medical practitioners, health care institutions, and health care payors including those related to the exercise of conscience, whistleblower activities, and free speech, and providing penalties. (Formerly HSB 139.)</w:t>
            </w:r>
          </w:p>
        </w:tc>
        <w:tc>
          <w:tcPr>
            <w:tcW w:w="4320" w:type="dxa"/>
            <w:shd w:val="clear" w:color="auto" w:fill="FFFF66" w:themeFillTint="30"/>
            <w:noWrap w:val="false"/>
          </w:tcPr>
          <w:p>
            <w:r>
              <w:rPr>
                <w:sz w:val="20"/>
              </w:rPr>
              <w:t>Placed on calendar under unfinished business. (4/3/25)</w:t>
            </w:r>
            <w:br/>
            <w:r>
              <w:rPr>
                <w:sz w:val="20"/>
              </w:rPr>
              <w:t>Passed House , yeas 64, nays 32. (3/26/25)</w:t>
            </w:r>
          </w:p>
        </w:tc>
        <w:tc>
          <w:tcPr>
            <w:tcW w:w="4320" w:type="dxa"/>
            <w:noWrap w:val="false"/>
          </w:tcPr>
          <w:p>
            <w:pPr>
              <w:spacing w:before="0" w:after="0"/>
            </w:pPr>
            <w:r>
              <w:t>Track (no public position, but follow it)</w:t>
            </w:r>
          </w:p>
        </w:tc>
      </w:tr>
      <w:tr>
        <w:trPr>
          <w:cantSplit w:val="true"/>
        </w:trPr>
        <w:tc>
          <w:tcPr>
            <w:tcW w:w="2160" w:type="dxa"/>
            <w:noWrap w:val="false"/>
          </w:tcPr>
          <w:p>
            <w:hyperlink r:id="rId14">
              <w:r>
                <w:rPr>
                  <w:rStyle w:val="Hyperlink"/>
                  <w:color w:val="0000FF"/>
                </w:rPr>
                <w:t xml:space="preserve">SF 220</w:t>
              </w:r>
            </w:hyperlink>
          </w:p>
          <w:p>
            <w:hyperlink r:id="rId15">
              <w:r>
                <w:rPr>
                  <w:rStyle w:val="Hyperlink"/>
                  <w:color w:val="0000FF"/>
                </w:rPr>
                <w:t xml:space="preserve">CO:HF 571</w:t>
              </w:r>
            </w:hyperlink>
          </w:p>
        </w:tc>
        <w:tc>
          <w:tcPr>
            <w:tcW w:w="3600" w:type="dxa"/>
            <w:noWrap w:val="false"/>
          </w:tcPr>
          <w:p>
            <w:r>
              <w:rPr>
                <w:sz w:val="20"/>
              </w:rPr>
              <w:t>A bill for an act relating to protections for medical practitioners, health care institutions, and health care payors including those related to the exercise of conscience, whistleblower activities, and free speech, and providing penalties.</w:t>
            </w:r>
          </w:p>
        </w:tc>
        <w:tc>
          <w:tcPr>
            <w:tcW w:w="4320" w:type="dxa"/>
            <w:shd w:val="clear" w:color="auto" w:fill="FFFF66" w:themeFillTint="30"/>
            <w:noWrap w:val="false"/>
          </w:tcPr>
          <w:p>
            <w:r>
              <w:rPr>
                <w:sz w:val="20"/>
              </w:rPr>
              <w:t>Placed on calendar under unfinished business. (4/3/25)</w:t>
            </w:r>
          </w:p>
        </w:tc>
        <w:tc>
          <w:tcPr>
            <w:tcW w:w="4320" w:type="dxa"/>
            <w:noWrap w:val="false"/>
          </w:tcPr>
          <w:p>
            <w:pPr>
              <w:spacing w:before="0" w:after="0"/>
            </w:pPr>
            <w:r>
              <w:t>Track (no public position, but follow it)</w:t>
            </w:r>
          </w:p>
        </w:tc>
      </w:tr>
      <w:tr>
        <w:trPr>
          <w:cantSplit w:val="true"/>
        </w:trPr>
        <w:tc>
          <w:tcPr>
            <w:tcW w:w="2160" w:type="dxa"/>
            <w:noWrap w:val="false"/>
          </w:tcPr>
          <w:p>
            <w:hyperlink r:id="rId16">
              <w:r>
                <w:rPr>
                  <w:rStyle w:val="Hyperlink"/>
                  <w:color w:val="0000FF"/>
                </w:rPr>
                <w:t xml:space="preserve">HF 972</w:t>
              </w:r>
            </w:hyperlink>
          </w:p>
          <w:p>
            <w:hyperlink r:id="rId17">
              <w:r>
                <w:rPr>
                  <w:rStyle w:val="Hyperlink"/>
                  <w:color w:val="0000FF"/>
                </w:rPr>
                <w:t xml:space="preserve">CO:SF 618</w:t>
              </w:r>
            </w:hyperlink>
          </w:p>
        </w:tc>
        <w:tc>
          <w:tcPr>
            <w:tcW w:w="3600" w:type="dxa"/>
            <w:noWrap w:val="false"/>
          </w:tcPr>
          <w:p>
            <w:r>
              <w:rPr>
                <w:sz w:val="20"/>
              </w:rPr>
              <w:t>A bill for an act relating to health care including a funding model for the rural health care system; the elimination of several health care-related award, grant, residency, and fellowship programs; establishment of a health care professional incentive program; Medicaid graduate medical education; the health facilities council; and the Iowa health information network, making appropriations, and including effective date provisions.(Formerly HF 754, HSB 191.)</w:t>
            </w:r>
          </w:p>
        </w:tc>
        <w:tc>
          <w:tcPr>
            <w:tcW w:w="4320" w:type="dxa"/>
            <w:shd w:val="clear" w:color="auto" w:fill="FFFF66" w:themeFillTint="30"/>
            <w:noWrap w:val="false"/>
          </w:tcPr>
          <w:p>
            <w:r>
              <w:rPr>
                <w:sz w:val="20"/>
              </w:rPr>
              <w:t>Attached to SF 618. (4/3/25)</w:t>
            </w:r>
            <w:br/>
            <w:r>
              <w:rPr>
                <w:sz w:val="20"/>
              </w:rPr>
              <w:t>Passed House, yeas 95, nays 1. (3/26/25)</w:t>
            </w:r>
          </w:p>
        </w:tc>
        <w:tc>
          <w:tcPr>
            <w:tcW w:w="4320" w:type="dxa"/>
            <w:noWrap w:val="false"/>
          </w:tcPr>
          <w:p>
            <w:pPr>
              <w:spacing w:before="0" w:after="0"/>
            </w:pPr>
            <w:r>
              <w:t>Support/For</w:t>
            </w:r>
          </w:p>
        </w:tc>
      </w:tr>
      <w:tr>
        <w:trPr>
          <w:cantSplit w:val="true"/>
        </w:trPr>
        <w:tc>
          <w:tcPr>
            <w:tcW w:w="2160" w:type="dxa"/>
            <w:noWrap w:val="false"/>
          </w:tcPr>
          <w:p>
            <w:hyperlink r:id="rId18">
              <w:r>
                <w:rPr>
                  <w:rStyle w:val="Hyperlink"/>
                  <w:color w:val="0000FF"/>
                </w:rPr>
                <w:t xml:space="preserve">SF 618</w:t>
              </w:r>
            </w:hyperlink>
          </w:p>
          <w:p>
            <w:hyperlink r:id="rId19">
              <w:r>
                <w:rPr>
                  <w:rStyle w:val="Hyperlink"/>
                  <w:color w:val="0000FF"/>
                </w:rPr>
                <w:t xml:space="preserve">CO:HF 972</w:t>
              </w:r>
            </w:hyperlink>
          </w:p>
        </w:tc>
        <w:tc>
          <w:tcPr>
            <w:tcW w:w="3600" w:type="dxa"/>
            <w:noWrap w:val="false"/>
          </w:tcPr>
          <w:p>
            <w:r>
              <w:rPr>
                <w:sz w:val="20"/>
              </w:rPr>
              <w:t>A bill for an act relating to health care including a funding model for the rural health care system; the elimination of several health care-related award, grant, residency, and fellowship programs; establishment of a health care professional incentive program; Medicaid graduate medical education; the health facilities council; and the Iowa health information network, making appropriations, and including effective date provisions.(Formerly SF 575, SSB 1163.)</w:t>
            </w:r>
          </w:p>
        </w:tc>
        <w:tc>
          <w:tcPr>
            <w:tcW w:w="4320" w:type="dxa"/>
            <w:shd w:val="clear" w:color="auto" w:fill="FFFF66" w:themeFillTint="30"/>
            <w:noWrap w:val="false"/>
          </w:tcPr>
          <w:p>
            <w:r>
              <w:rPr>
                <w:sz w:val="20"/>
              </w:rPr>
              <w:t>Attached to HF 972 . (4/3/25)</w:t>
            </w:r>
          </w:p>
        </w:tc>
        <w:tc>
          <w:tcPr>
            <w:tcW w:w="4320" w:type="dxa"/>
            <w:noWrap w:val="false"/>
          </w:tcPr>
          <w:p>
            <w:pPr>
              <w:spacing w:before="0" w:after="0"/>
            </w:pPr>
            <w:r>
              <w:t>Support/For</w:t>
            </w:r>
          </w:p>
        </w:tc>
      </w:tr>
      <w:tr>
        <w:trPr>
          <w:cantSplit w:val="true"/>
        </w:trPr>
        <w:tc>
          <w:tcPr>
            <w:tcW w:w="2160" w:type="dxa"/>
            <w:noWrap w:val="false"/>
          </w:tcPr>
          <w:p>
            <w:hyperlink r:id="rId20">
              <w:r>
                <w:rPr>
                  <w:rStyle w:val="Hyperlink"/>
                  <w:color w:val="0000FF"/>
                </w:rPr>
                <w:t xml:space="preserve">SF 469</w:t>
              </w:r>
            </w:hyperlink>
          </w:p>
        </w:tc>
        <w:tc>
          <w:tcPr>
            <w:tcW w:w="3600" w:type="dxa"/>
            <w:noWrap w:val="false"/>
          </w:tcPr>
          <w:p>
            <w:r>
              <w:rPr>
                <w:sz w:val="20"/>
              </w:rPr>
              <w:t>A bill for an act creating an emeritus license to practice medicine and surgery or osteopathic medicine and surgery.(Formerly SSB 1121.)</w:t>
            </w:r>
          </w:p>
        </w:tc>
        <w:tc>
          <w:tcPr>
            <w:tcW w:w="4320" w:type="dxa"/>
            <w:shd w:val="clear" w:color="auto" w:fill="FFFF66" w:themeFillTint="30"/>
            <w:noWrap w:val="false"/>
          </w:tcPr>
          <w:p>
            <w:r>
              <w:rPr>
                <w:sz w:val="20"/>
              </w:rPr>
              <w:t>Pursuant to Rule 31.7, referred to Ways and Means. (4/1/25)</w:t>
            </w:r>
            <w:br/>
            <w:r>
              <w:rPr>
                <w:sz w:val="20"/>
              </w:rPr>
              <w:t>Passed Senate , yeas 40, nays 6. (3/17/25)</w:t>
            </w:r>
          </w:p>
        </w:tc>
        <w:tc>
          <w:tcPr>
            <w:tcW w:w="4320" w:type="dxa"/>
            <w:noWrap w:val="false"/>
          </w:tcPr>
          <w:p>
            <w:pPr>
              <w:spacing w:before="0" w:after="0"/>
            </w:pPr>
            <w:r>
              <w:t>Monitor/Undecided</w:t>
            </w:r>
          </w:p>
          <w:p>
            <w:pPr>
              <w:spacing w:before="0" w:after="0"/>
            </w:pPr>
            <w:r>
              <w:t>House sub on 3/25. Iowa Medical Society, which is supportive, had some comments about the CME portion of the bill. They also commented that current licensing requirements are hindering people from staying in the profession and their members have concerns about CME requirements. Iowa Mental Health Advocacy is also supportive, but said they believe CME is important have concerns about removing those requirements altogether. Rep. Baeth wanted to know what other states and said that it is important we don't explicitly waive learning updated medicine, a lot can change in a few months or years. Rep. Ingels wanted to know what the current cost of licensure is, but DIAL didn't have the answer. Passed house sub.</w:t>
            </w:r>
          </w:p>
          <w:p>
            <w:pPr>
              <w:spacing w:before="0" w:after="0"/>
            </w:pPr>
            <w:r>
              <w:t/>
            </w:r>
          </w:p>
        </w:tc>
      </w:tr>
    </w:tbl>
    <w:p>
      <w:r>
        <w:rPr>
          <w:sz w:val="24"/>
        </w:rPr>
        <w:t/>
      </w:r>
    </w:p>
    <w:p>
      <w:pPr>
        <w:spacing w:before="0" w:after="0"/>
      </w:pPr>
      <w:r>
        <w:rPr>
          <w:b w:val="true"/>
          <w:sz w:val="36"/>
          <w:u w:val="single"/>
        </w:rPr>
        <w:t>Funneled Bills</w:t>
      </w:r>
    </w:p>
    <w:p>
      <w:r>
        <w:rPr>
          <w:sz w:val="36"/>
        </w:rPr>
        <w:t/>
      </w:r>
    </w:p>
    <w:tbl>
      <w:tblPr>
        <w:tblStyle w:val="TableGrid"/>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tblPr>
      <w:tblGrid>
        <w:gridCol w:w="2160"/>
        <w:gridCol w:w="3600"/>
        <w:gridCol w:w="4320"/>
        <w:gridCol w:w="4320"/>
      </w:tblGrid>
      <w:tr>
        <w:trPr>
          <w:tblHeader w:val="true"/>
          <w:cantSplit w:val="true"/>
        </w:trPr>
        <w:tc>
          <w:tcPr>
            <w:tcW w:w="2160" w:type="dxa"/>
            <w:shd w:val="clear" w:color="auto" w:fill="8EB4E0"/>
          </w:tcPr>
          <w:p>
            <w:pPr>
              <w:jc w:val="left"/>
            </w:pPr>
            <w:r>
              <w:rPr>
                <w:b w:val="true"/>
                <w:sz w:val="22"/>
              </w:rPr>
              <w:t>BILL</w:t>
            </w:r>
          </w:p>
        </w:tc>
        <w:tc>
          <w:tcPr>
            <w:tcW w:type="right"/>
            <w:shd w:val="clear" w:color="auto" w:fill="8EB4E0"/>
          </w:tcPr>
          <w:p>
            <w:pPr>
              <w:jc w:val="left"/>
            </w:pPr>
            <w:r>
              <w:rPr>
                <w:b w:val="true"/>
                <w:sz w:val="22"/>
              </w:rPr>
              <w:t>DESCRIPTION</w:t>
            </w:r>
          </w:p>
        </w:tc>
        <w:tc>
          <w:tcPr>
            <w:tcW w:type="right"/>
            <w:shd w:val="clear" w:color="auto" w:fill="8EB4E0"/>
          </w:tcPr>
          <w:p>
            <w:pPr>
              <w:jc w:val="left"/>
            </w:pPr>
            <w:r>
              <w:rPr>
                <w:b w:val="true"/>
                <w:sz w:val="22"/>
              </w:rPr>
              <w:t>STATUS</w:t>
            </w:r>
          </w:p>
        </w:tc>
        <w:tc>
          <w:tcPr>
            <w:tcW w:type="right"/>
            <w:shd w:val="clear" w:color="auto" w:fill="8EB4E0"/>
          </w:tcPr>
          <w:p>
            <w:pPr>
              <w:jc w:val="left"/>
            </w:pPr>
            <w:r>
              <w:rPr>
                <w:b w:val="true"/>
                <w:sz w:val="22"/>
              </w:rPr>
              <w:t>NOTE</w:t>
            </w:r>
          </w:p>
        </w:tc>
      </w:tr>
      <w:tr>
        <w:trPr>
          <w:cantSplit w:val="true"/>
        </w:trPr>
        <w:tc>
          <w:tcPr>
            <w:tcW w:w="2160" w:type="dxa"/>
            <w:noWrap w:val="false"/>
          </w:tcPr>
          <w:p>
            <w:hyperlink r:id="rId21">
              <w:r>
                <w:rPr>
                  <w:rStyle w:val="Hyperlink"/>
                  <w:color w:val="0000FF"/>
                </w:rPr>
                <w:t xml:space="preserve">HF 4</w:t>
              </w:r>
            </w:hyperlink>
          </w:p>
        </w:tc>
        <w:tc>
          <w:tcPr>
            <w:tcW w:w="3600" w:type="dxa"/>
            <w:noWrap w:val="false"/>
          </w:tcPr>
          <w:p>
            <w:r>
              <w:rPr>
                <w:sz w:val="20"/>
              </w:rPr>
              <w:t>A bill for an act relating to health benefit plans, claims for reimbursement, and explanation of benefits.</w:t>
            </w:r>
          </w:p>
        </w:tc>
        <w:tc>
          <w:tcPr>
            <w:tcW w:w="4320" w:type="dxa"/>
            <w:shd w:val="clear" w:color="auto" w:fill="FF8080" w:themeFillTint="30"/>
            <w:noWrap w:val="false"/>
          </w:tcPr>
          <w:p>
            <w:r>
              <w:rPr>
                <w:sz w:val="20"/>
              </w:rPr>
              <w:t>Subcommittee recommends passage. (1/29/25)</w:t>
            </w:r>
          </w:p>
        </w:tc>
        <w:tc>
          <w:tcPr>
            <w:tcW w:w="4320" w:type="dxa"/>
            <w:noWrap w:val="false"/>
          </w:tcPr>
          <w:p>
            <w:pPr>
              <w:spacing w:before="0" w:after="0"/>
            </w:pPr>
            <w:r>
              <w:t>Track (no public position, but follow it)</w:t>
            </w:r>
          </w:p>
          <w:p>
            <w:pPr>
              <w:spacing w:before="0" w:after="0"/>
            </w:pPr>
            <w:r>
              <w:t>Bill introduced by Rep. Boden. Requires healthcare professionals who provide services to a covered person to submit a claim for reimbursement to the primary health benefit plan designated by the person or personal rep. prior to submitting a claim. Rep. Boden spoke about personal experiences with this as an insurance agent. All organizations, like Iowa Medical Society and Delta Dental, were monitoring. DIAL has no concerns with bill. Wellmark had concerns about insurance election language. Rep. Wilson wanted to know why this needs to be a law. Rep. Boden said she has had constituents with this problem, especially with divorcees, and that insurance companies are hard to work with. Passed 3-0.</w:t>
            </w:r>
          </w:p>
          <w:p>
            <w:pPr>
              <w:spacing w:before="0" w:after="0"/>
            </w:pPr>
            <w:r>
              <w:t/>
            </w:r>
          </w:p>
        </w:tc>
      </w:tr>
      <w:tr>
        <w:trPr>
          <w:cantSplit w:val="true"/>
        </w:trPr>
        <w:tc>
          <w:tcPr>
            <w:tcW w:w="2160" w:type="dxa"/>
            <w:noWrap w:val="false"/>
          </w:tcPr>
          <w:p>
            <w:hyperlink r:id="rId22">
              <w:r>
                <w:rPr>
                  <w:rStyle w:val="Hyperlink"/>
                  <w:color w:val="0000FF"/>
                </w:rPr>
                <w:t xml:space="preserve">HF 13</w:t>
              </w:r>
            </w:hyperlink>
          </w:p>
        </w:tc>
        <w:tc>
          <w:tcPr>
            <w:tcW w:w="3600" w:type="dxa"/>
            <w:noWrap w:val="false"/>
          </w:tcPr>
          <w:p>
            <w:r>
              <w:rPr>
                <w:sz w:val="20"/>
              </w:rPr>
              <w:t>A bill for an act relating to annual automatic increases in Medicaid provider reimbursement rates.</w:t>
            </w:r>
          </w:p>
        </w:tc>
        <w:tc>
          <w:tcPr>
            <w:tcW w:w="4320" w:type="dxa"/>
            <w:shd w:val="clear" w:color="auto" w:fill="FF8080" w:themeFillTint="30"/>
            <w:noWrap w:val="false"/>
          </w:tcPr>
          <w:p>
            <w:r>
              <w:rPr>
                <w:sz w:val="20"/>
              </w:rPr>
              <w:t>Introduced, referred to Health and Human Services. (1/14/25)</w:t>
            </w:r>
          </w:p>
        </w:tc>
        <w:tc>
          <w:tcPr>
            <w:tcW w:w="4320" w:type="dxa"/>
            <w:noWrap w:val="false"/>
          </w:tcPr>
          <w:p>
            <w:pPr>
              <w:spacing w:before="0" w:after="0"/>
            </w:pPr>
            <w:r>
              <w:t>Monitor/Undecided</w:t>
            </w:r>
          </w:p>
        </w:tc>
      </w:tr>
      <w:tr>
        <w:trPr>
          <w:cantSplit w:val="true"/>
        </w:trPr>
        <w:tc>
          <w:tcPr>
            <w:tcW w:w="2160" w:type="dxa"/>
            <w:noWrap w:val="false"/>
          </w:tcPr>
          <w:p>
            <w:hyperlink r:id="rId23">
              <w:r>
                <w:rPr>
                  <w:rStyle w:val="Hyperlink"/>
                  <w:color w:val="0000FF"/>
                </w:rPr>
                <w:t xml:space="preserve">HF 35</w:t>
              </w:r>
            </w:hyperlink>
          </w:p>
        </w:tc>
        <w:tc>
          <w:tcPr>
            <w:tcW w:w="3600" w:type="dxa"/>
            <w:noWrap w:val="false"/>
          </w:tcPr>
          <w:p>
            <w:r>
              <w:rPr>
                <w:sz w:val="20"/>
              </w:rPr>
              <w:t>A bill for an act relating to postsecondary schools and COVID-19 vaccine exemptions for clinical students.</w:t>
            </w:r>
          </w:p>
        </w:tc>
        <w:tc>
          <w:tcPr>
            <w:tcW w:w="4320" w:type="dxa"/>
            <w:shd w:val="clear" w:color="auto" w:fill="FF8080" w:themeFillTint="30"/>
            <w:noWrap w:val="false"/>
          </w:tcPr>
          <w:p>
            <w:r>
              <w:rPr>
                <w:sz w:val="20"/>
              </w:rPr>
              <w:t>Subcommittee recommends passage. (1/23/25)</w:t>
            </w:r>
          </w:p>
        </w:tc>
        <w:tc>
          <w:tcPr>
            <w:tcW w:w="4320" w:type="dxa"/>
            <w:noWrap w:val="false"/>
          </w:tcPr>
          <w:p>
            <w:pPr>
              <w:spacing w:before="0" w:after="0"/>
            </w:pPr>
            <w:r>
              <w:t>Track (no public position, but follow it)</w:t>
            </w:r>
          </w:p>
          <w:p>
            <w:pPr>
              <w:spacing w:before="0" w:after="0"/>
            </w:pPr>
            <w:r>
              <w:t>This bill consisdered the topic of postsecondary and COVID-19 vaccine exemptions for clincal students. The main subject of this bill was a push to also consider adding the flu to the bill. Informed Choice spoke out as undecided but also encouraged the addition of the flu vaccine. Rep. Brown-Powers did offer comments that this issue does not extend to all schools and had issues with the legislative overreach. The bill was passed to go to the larger committee, Rep. Brown Powers did not sign off. </w:t>
            </w:r>
          </w:p>
          <w:p>
            <w:pPr>
              <w:spacing w:before="0" w:after="0"/>
            </w:pPr>
            <w:r>
              <w:t/>
            </w:r>
          </w:p>
        </w:tc>
      </w:tr>
      <w:tr>
        <w:trPr>
          <w:cantSplit w:val="true"/>
        </w:trPr>
        <w:tc>
          <w:tcPr>
            <w:tcW w:w="2160" w:type="dxa"/>
            <w:noWrap w:val="false"/>
          </w:tcPr>
          <w:p>
            <w:hyperlink r:id="rId24">
              <w:r>
                <w:rPr>
                  <w:rStyle w:val="Hyperlink"/>
                  <w:color w:val="0000FF"/>
                </w:rPr>
                <w:t xml:space="preserve">HF 61</w:t>
              </w:r>
            </w:hyperlink>
          </w:p>
        </w:tc>
        <w:tc>
          <w:tcPr>
            <w:tcW w:w="3600" w:type="dxa"/>
            <w:noWrap w:val="false"/>
          </w:tcPr>
          <w:p>
            <w:r>
              <w:rPr>
                <w:sz w:val="20"/>
              </w:rPr>
              <w:t>A bill for an act relating to the disclosure of prices charged for certain health services rendered by health care providers and hospitals.</w:t>
            </w:r>
          </w:p>
        </w:tc>
        <w:tc>
          <w:tcPr>
            <w:tcW w:w="4320" w:type="dxa"/>
            <w:shd w:val="clear" w:color="auto" w:fill="FF8080" w:themeFillTint="30"/>
            <w:noWrap w:val="false"/>
          </w:tcPr>
          <w:p>
            <w:r>
              <w:rPr>
                <w:sz w:val="20"/>
              </w:rPr>
              <w:t>Introduced, referred to Health and Human Services. (1/15/25)</w:t>
            </w:r>
          </w:p>
        </w:tc>
        <w:tc>
          <w:tcPr>
            <w:tcW w:w="4320" w:type="dxa"/>
            <w:noWrap w:val="false"/>
          </w:tcPr>
          <w:p>
            <w:pPr>
              <w:spacing w:before="0" w:after="0"/>
            </w:pPr>
            <w:r>
              <w:t>Monitor/Undecided</w:t>
            </w:r>
          </w:p>
        </w:tc>
      </w:tr>
      <w:tr>
        <w:trPr>
          <w:cantSplit w:val="true"/>
        </w:trPr>
        <w:tc>
          <w:tcPr>
            <w:tcW w:w="2160" w:type="dxa"/>
            <w:noWrap w:val="false"/>
          </w:tcPr>
          <w:p>
            <w:hyperlink r:id="rId25">
              <w:r>
                <w:rPr>
                  <w:rStyle w:val="Hyperlink"/>
                  <w:color w:val="0000FF"/>
                </w:rPr>
                <w:t xml:space="preserve">HF 301</w:t>
              </w:r>
            </w:hyperlink>
          </w:p>
          <w:p>
            <w:hyperlink r:id="rId26">
              <w:r>
                <w:rPr>
                  <w:rStyle w:val="Hyperlink"/>
                  <w:color w:val="0000FF"/>
                </w:rPr>
                <w:t xml:space="preserve">CO:HF 147</w:t>
              </w:r>
            </w:hyperlink>
          </w:p>
        </w:tc>
        <w:tc>
          <w:tcPr>
            <w:tcW w:w="3600" w:type="dxa"/>
            <w:noWrap w:val="false"/>
          </w:tcPr>
          <w:p>
            <w:r>
              <w:rPr>
                <w:sz w:val="20"/>
              </w:rPr>
              <w:t>A bill for an act requiring the university of Iowa hospitals and clinics to give priority to certain Iowa residents in awarding certain residencies and fellowships and to include rural rotations in certain residencies and fellowships.(Formerly HF 147.)</w:t>
            </w:r>
          </w:p>
        </w:tc>
        <w:tc>
          <w:tcPr>
            <w:tcW w:w="4320" w:type="dxa"/>
            <w:shd w:val="clear" w:color="auto" w:fill="FFFF66" w:themeFillTint="30"/>
            <w:noWrap w:val="false"/>
          </w:tcPr>
          <w:p>
            <w:r>
              <w:rPr>
                <w:sz w:val="20"/>
              </w:rPr>
              <w:t>Referred to Health and Human Services. (4/3/25)</w:t>
            </w:r>
          </w:p>
        </w:tc>
        <w:tc>
          <w:tcPr>
            <w:tcW w:w="4320" w:type="dxa"/>
            <w:noWrap w:val="false"/>
          </w:tcPr>
          <w:p>
            <w:pPr>
              <w:spacing w:before="0" w:after="0"/>
            </w:pPr>
            <w:r>
              <w:t>Monitor/Undecided</w:t>
            </w:r>
          </w:p>
        </w:tc>
      </w:tr>
      <w:tr>
        <w:trPr>
          <w:cantSplit w:val="true"/>
        </w:trPr>
        <w:tc>
          <w:tcPr>
            <w:tcW w:w="2160" w:type="dxa"/>
            <w:noWrap w:val="false"/>
          </w:tcPr>
          <w:p>
            <w:hyperlink r:id="rId27">
              <w:r>
                <w:rPr>
                  <w:rStyle w:val="Hyperlink"/>
                  <w:color w:val="0000FF"/>
                </w:rPr>
                <w:t xml:space="preserve">HF 379</w:t>
              </w:r>
            </w:hyperlink>
          </w:p>
        </w:tc>
        <w:tc>
          <w:tcPr>
            <w:tcW w:w="3600" w:type="dxa"/>
            <w:noWrap w:val="false"/>
          </w:tcPr>
          <w:p>
            <w:r>
              <w:rPr>
                <w:sz w:val="20"/>
              </w:rPr>
              <w:t>A bill for an act relating to medical residency and fellowship positions, and certain medical residency and fellowship position applicants.(Formerly HF 12.)</w:t>
            </w:r>
          </w:p>
        </w:tc>
        <w:tc>
          <w:tcPr>
            <w:tcW w:w="4320" w:type="dxa"/>
            <w:shd w:val="clear" w:color="auto" w:fill="FFFF66" w:themeFillTint="30"/>
            <w:noWrap w:val="false"/>
          </w:tcPr>
          <w:p>
            <w:r>
              <w:rPr>
                <w:sz w:val="20"/>
              </w:rPr>
              <w:t>Referred to Health and Human Services. (4/3/25)</w:t>
            </w:r>
          </w:p>
        </w:tc>
        <w:tc>
          <w:tcPr>
            <w:tcW w:w="4320" w:type="dxa"/>
            <w:noWrap w:val="false"/>
          </w:tcPr>
          <w:p>
            <w:pPr>
              <w:spacing w:before="0" w:after="0"/>
            </w:pPr>
            <w:r>
              <w:t>Monitor/Undecided</w:t>
            </w:r>
          </w:p>
        </w:tc>
      </w:tr>
      <w:tr>
        <w:trPr>
          <w:cantSplit w:val="true"/>
        </w:trPr>
        <w:tc>
          <w:tcPr>
            <w:tcW w:w="2160" w:type="dxa"/>
            <w:noWrap w:val="false"/>
          </w:tcPr>
          <w:p>
            <w:hyperlink r:id="rId28">
              <w:r>
                <w:rPr>
                  <w:rStyle w:val="Hyperlink"/>
                  <w:color w:val="0000FF"/>
                </w:rPr>
                <w:t xml:space="preserve">HF 409</w:t>
              </w:r>
            </w:hyperlink>
          </w:p>
        </w:tc>
        <w:tc>
          <w:tcPr>
            <w:tcW w:w="3600" w:type="dxa"/>
            <w:noWrap w:val="false"/>
          </w:tcPr>
          <w:p>
            <w:r>
              <w:rPr>
                <w:sz w:val="20"/>
              </w:rPr>
              <w:t>A bill for an act relating to the licensing of, and granting of clinical privileges to, certain health care professionals.</w:t>
            </w:r>
          </w:p>
        </w:tc>
        <w:tc>
          <w:tcPr>
            <w:tcW w:w="4320" w:type="dxa"/>
            <w:shd w:val="clear" w:color="auto" w:fill="FF8080" w:themeFillTint="30"/>
            <w:noWrap w:val="false"/>
          </w:tcPr>
          <w:p>
            <w:r>
              <w:rPr>
                <w:sz w:val="20"/>
              </w:rPr>
              <w:t>Subcommittee recommends passage. (2/25/25)</w:t>
            </w:r>
          </w:p>
        </w:tc>
        <w:tc>
          <w:tcPr>
            <w:tcW w:w="4320" w:type="dxa"/>
            <w:noWrap w:val="false"/>
          </w:tcPr>
          <w:p>
            <w:pPr>
              <w:spacing w:before="0" w:after="0"/>
            </w:pPr>
            <w:r>
              <w:t>Track (no public position, but follow it)</w:t>
            </w:r>
          </w:p>
        </w:tc>
      </w:tr>
      <w:tr>
        <w:trPr>
          <w:cantSplit w:val="true"/>
        </w:trPr>
        <w:tc>
          <w:tcPr>
            <w:tcW w:w="2160" w:type="dxa"/>
            <w:noWrap w:val="false"/>
          </w:tcPr>
          <w:p>
            <w:hyperlink r:id="rId29">
              <w:r>
                <w:rPr>
                  <w:rStyle w:val="Hyperlink"/>
                  <w:color w:val="0000FF"/>
                </w:rPr>
                <w:t xml:space="preserve">HF 703</w:t>
              </w:r>
            </w:hyperlink>
          </w:p>
        </w:tc>
        <w:tc>
          <w:tcPr>
            <w:tcW w:w="3600" w:type="dxa"/>
            <w:noWrap w:val="false"/>
          </w:tcPr>
          <w:p>
            <w:r>
              <w:rPr>
                <w:sz w:val="20"/>
              </w:rPr>
              <w:t>A bill for an act concerning information regarding certain state and federal student loan programs.(Formerly HSB 152.)</w:t>
            </w:r>
          </w:p>
        </w:tc>
        <w:tc>
          <w:tcPr>
            <w:tcW w:w="4320" w:type="dxa"/>
            <w:shd w:val="clear" w:color="auto" w:fill="FF8080" w:themeFillTint="30"/>
            <w:noWrap w:val="false"/>
          </w:tcPr>
          <w:p>
            <w:r>
              <w:rPr>
                <w:sz w:val="20"/>
              </w:rPr>
              <w:t>Subcommittee recommends passage. (3/25/25)</w:t>
            </w:r>
          </w:p>
        </w:tc>
        <w:tc>
          <w:tcPr>
            <w:tcW w:w="4320" w:type="dxa"/>
            <w:noWrap w:val="false"/>
          </w:tcPr>
          <w:p>
            <w:pPr>
              <w:spacing w:before="0" w:after="0"/>
            </w:pPr>
            <w:r>
              <w:t>Track (no public position, but follow it)</w:t>
            </w:r>
          </w:p>
          <w:p>
            <w:pPr>
              <w:spacing w:before="0" w:after="0"/>
            </w:pPr>
            <w:r>
              <w:t>Senate sub on 3/25. Iowa Student Loan said they requested this bill and they see it as a transparency measure, providing/disclosing more information. Community College reps are undecided, but have no problems with the bill. Sen. Quirmbach had a number of questions about different types of loans and disclosures about APR and federal regulations. He was not willing to sign off unless an amendment was added. Passed 2-1.</w:t>
            </w:r>
          </w:p>
          <w:p>
            <w:pPr>
              <w:spacing w:before="0" w:after="0"/>
            </w:pPr>
            <w:r>
              <w:t/>
            </w:r>
          </w:p>
        </w:tc>
      </w:tr>
      <w:tr>
        <w:trPr>
          <w:cantSplit w:val="true"/>
        </w:trPr>
        <w:tc>
          <w:tcPr>
            <w:tcW w:w="2160" w:type="dxa"/>
            <w:noWrap w:val="false"/>
          </w:tcPr>
          <w:p>
            <w:hyperlink r:id="rId30">
              <w:r>
                <w:rPr>
                  <w:rStyle w:val="Hyperlink"/>
                  <w:color w:val="0000FF"/>
                </w:rPr>
                <w:t xml:space="preserve">HF 854</w:t>
              </w:r>
            </w:hyperlink>
          </w:p>
        </w:tc>
        <w:tc>
          <w:tcPr>
            <w:tcW w:w="3600" w:type="dxa"/>
            <w:noWrap w:val="false"/>
          </w:tcPr>
          <w:p>
            <w:r>
              <w:rPr>
                <w:sz w:val="20"/>
              </w:rPr>
              <w:t>A bill for an act prohibiting private institutions of higher education that participate in the Iowa tuition grant program from establishing diversity, equity, and inclusion offices.(Formerly HSB 60.)</w:t>
            </w:r>
          </w:p>
        </w:tc>
        <w:tc>
          <w:tcPr>
            <w:tcW w:w="4320" w:type="dxa"/>
            <w:shd w:val="clear" w:color="auto" w:fill="FFFF66" w:themeFillTint="30"/>
            <w:noWrap w:val="false"/>
          </w:tcPr>
          <w:p>
            <w:r>
              <w:rPr>
                <w:sz w:val="20"/>
              </w:rPr>
              <w:t>Referred to Higher Education. (4/3/25)</w:t>
            </w:r>
          </w:p>
        </w:tc>
        <w:tc>
          <w:tcPr>
            <w:tcW w:w="4320" w:type="dxa"/>
            <w:noWrap w:val="false"/>
          </w:tcPr>
          <w:p>
            <w:pPr>
              <w:spacing w:before="0" w:after="0"/>
            </w:pPr>
            <w:r>
              <w:t>Track (no public position, but follow it)</w:t>
            </w:r>
          </w:p>
        </w:tc>
      </w:tr>
      <w:tr>
        <w:trPr>
          <w:cantSplit w:val="true"/>
        </w:trPr>
        <w:tc>
          <w:tcPr>
            <w:tcW w:w="2160" w:type="dxa"/>
            <w:noWrap w:val="false"/>
          </w:tcPr>
          <w:p>
            <w:hyperlink r:id="rId31">
              <w:r>
                <w:rPr>
                  <w:rStyle w:val="Hyperlink"/>
                  <w:color w:val="0000FF"/>
                </w:rPr>
                <w:t xml:space="preserve">HF 930</w:t>
              </w:r>
            </w:hyperlink>
          </w:p>
        </w:tc>
        <w:tc>
          <w:tcPr>
            <w:tcW w:w="3600" w:type="dxa"/>
            <w:noWrap w:val="false"/>
          </w:tcPr>
          <w:p>
            <w:r>
              <w:rPr>
                <w:sz w:val="20"/>
              </w:rPr>
              <w:t>A bill for an act enacting the interstate podiatric medical licensure compact.(Formerly HSB 291.)</w:t>
            </w:r>
          </w:p>
        </w:tc>
        <w:tc>
          <w:tcPr>
            <w:tcW w:w="4320" w:type="dxa"/>
            <w:shd w:val="clear" w:color="auto" w:fill="FFFF66" w:themeFillTint="30"/>
            <w:noWrap w:val="false"/>
          </w:tcPr>
          <w:p>
            <w:r>
              <w:rPr>
                <w:sz w:val="20"/>
              </w:rPr>
              <w:t>Referred to State Government. (4/3/25)</w:t>
            </w:r>
          </w:p>
        </w:tc>
        <w:tc>
          <w:tcPr>
            <w:tcW w:w="4320" w:type="dxa"/>
            <w:noWrap w:val="false"/>
          </w:tcPr>
          <w:p>
            <w:pPr>
              <w:spacing w:before="0" w:after="0"/>
            </w:pPr>
            <w:r>
              <w:t>Support/For</w:t>
            </w:r>
          </w:p>
        </w:tc>
      </w:tr>
      <w:tr>
        <w:trPr>
          <w:cantSplit w:val="true"/>
        </w:trPr>
        <w:tc>
          <w:tcPr>
            <w:tcW w:w="2160" w:type="dxa"/>
            <w:noWrap w:val="false"/>
          </w:tcPr>
          <w:p>
            <w:hyperlink r:id="rId32">
              <w:r>
                <w:rPr>
                  <w:rStyle w:val="Hyperlink"/>
                  <w:color w:val="0000FF"/>
                </w:rPr>
                <w:t xml:space="preserve">HSB 96</w:t>
              </w:r>
            </w:hyperlink>
          </w:p>
        </w:tc>
        <w:tc>
          <w:tcPr>
            <w:tcW w:w="3600" w:type="dxa"/>
            <w:noWrap w:val="false"/>
          </w:tcPr>
          <w:p>
            <w:r>
              <w:rPr>
                <w:sz w:val="20"/>
              </w:rPr>
              <w:t>A bill for an act relating to permissible local sales and services tax expenditures.</w:t>
            </w:r>
          </w:p>
        </w:tc>
        <w:tc>
          <w:tcPr>
            <w:tcW w:w="4320" w:type="dxa"/>
            <w:shd w:val="clear" w:color="auto" w:fill="FF8080" w:themeFillTint="30"/>
            <w:noWrap w:val="false"/>
          </w:tcPr>
          <w:p>
            <w:r>
              <w:rPr>
                <w:sz w:val="20"/>
              </w:rPr>
              <w:t>Subcommittee recommends passage. (1/29/25)</w:t>
            </w:r>
          </w:p>
        </w:tc>
        <w:tc>
          <w:tcPr>
            <w:tcW w:w="4320" w:type="dxa"/>
            <w:noWrap w:val="false"/>
          </w:tcPr>
          <w:p>
            <w:pPr>
              <w:spacing w:before="0" w:after="0"/>
            </w:pPr>
            <w:r>
              <w:t>Monitor/Undecided</w:t>
            </w:r>
          </w:p>
          <w:p>
            <w:pPr>
              <w:spacing w:before="0" w:after="0"/>
            </w:pPr>
            <w:r>
              <w:t>Bill introduced by Rep. Jones. The bill specifies that local sales and services tax moneys received by a city or county may be expended to a nonprofit entity exemption from income tax under Section 501(c)3 of the Internal Revenue Code that is providing public services in the applicable city or county. Subcommittee members were Reps. Wengryn, Determann, &amp; Gosa. Passed.</w:t>
            </w:r>
          </w:p>
          <w:p>
            <w:pPr>
              <w:spacing w:before="0" w:after="0"/>
            </w:pPr>
            <w:r>
              <w:t/>
            </w:r>
          </w:p>
        </w:tc>
      </w:tr>
      <w:tr>
        <w:trPr>
          <w:cantSplit w:val="true"/>
        </w:trPr>
        <w:tc>
          <w:tcPr>
            <w:tcW w:w="2160" w:type="dxa"/>
            <w:noWrap w:val="false"/>
          </w:tcPr>
          <w:p>
            <w:hyperlink r:id="rId33">
              <w:r>
                <w:rPr>
                  <w:rStyle w:val="Hyperlink"/>
                  <w:color w:val="0000FF"/>
                </w:rPr>
                <w:t xml:space="preserve">SF 319</w:t>
              </w:r>
            </w:hyperlink>
          </w:p>
        </w:tc>
        <w:tc>
          <w:tcPr>
            <w:tcW w:w="3600" w:type="dxa"/>
            <w:noWrap w:val="false"/>
          </w:tcPr>
          <w:p>
            <w:r>
              <w:rPr>
                <w:sz w:val="20"/>
              </w:rPr>
              <w:t>A bill for an act relating to certain cost controls for health care services.(Formerly SSB 1029.)</w:t>
            </w:r>
          </w:p>
        </w:tc>
        <w:tc>
          <w:tcPr>
            <w:tcW w:w="4320" w:type="dxa"/>
            <w:shd w:val="clear" w:color="auto" w:fill="FF8080" w:themeFillTint="30"/>
            <w:noWrap w:val="false"/>
          </w:tcPr>
          <w:p>
            <w:r>
              <w:rPr>
                <w:sz w:val="20"/>
              </w:rPr>
              <w:t>Subcommittee recommends passage. (3/19/25)</w:t>
            </w:r>
          </w:p>
        </w:tc>
        <w:tc>
          <w:tcPr>
            <w:tcW w:w="4320" w:type="dxa"/>
            <w:noWrap w:val="false"/>
          </w:tcPr>
          <w:p>
            <w:pPr>
              <w:spacing w:before="0" w:after="0"/>
            </w:pPr>
            <w:r>
              <w:t>Monitor/Undecided</w:t>
            </w:r>
          </w:p>
        </w:tc>
      </w:tr>
      <w:tr>
        <w:trPr>
          <w:cantSplit w:val="true"/>
        </w:trPr>
        <w:tc>
          <w:tcPr>
            <w:tcW w:w="2160" w:type="dxa"/>
            <w:noWrap w:val="false"/>
          </w:tcPr>
          <w:p>
            <w:hyperlink r:id="rId34">
              <w:r>
                <w:rPr>
                  <w:rStyle w:val="Hyperlink"/>
                  <w:color w:val="0000FF"/>
                </w:rPr>
                <w:t xml:space="preserve">SF 360</w:t>
              </w:r>
            </w:hyperlink>
          </w:p>
        </w:tc>
        <w:tc>
          <w:tcPr>
            <w:tcW w:w="3600" w:type="dxa"/>
            <w:noWrap w:val="false"/>
          </w:tcPr>
          <w:p>
            <w:r>
              <w:rPr>
                <w:sz w:val="20"/>
              </w:rPr>
              <w:t>A bill for an act relating to the administration of gene-based vaccines, and providing penalties.</w:t>
            </w:r>
          </w:p>
        </w:tc>
        <w:tc>
          <w:tcPr>
            <w:tcW w:w="4320" w:type="dxa"/>
            <w:shd w:val="clear" w:color="auto" w:fill="FF8080" w:themeFillTint="30"/>
            <w:noWrap w:val="false"/>
          </w:tcPr>
          <w:p>
            <w:r>
              <w:rPr>
                <w:sz w:val="20"/>
              </w:rPr>
              <w:t>Subcommittee recommends amendment and passage. (3/3/25)</w:t>
            </w:r>
          </w:p>
        </w:tc>
        <w:tc>
          <w:tcPr>
            <w:tcW w:w="4320" w:type="dxa"/>
            <w:noWrap w:val="false"/>
          </w:tcPr>
          <w:p>
            <w:pPr>
              <w:spacing w:before="0" w:after="0"/>
            </w:pPr>
            <w:r>
              <w:t>Oppose/Against</w:t>
            </w:r>
          </w:p>
        </w:tc>
      </w:tr>
    </w:tbl>
    <w:sectPr>
      <w:headerReference w:type="default" r:id="rId2"/>
      <w:footerReference w:type="default" r:id="rId3"/>
      <w:type w:val="nextPage"/>
      <w:pgSz w:w="15840" w:h="12240" w:orient="landscape"/>
      <w:pgMar w:top="1221" w:right="720" w:bottom="720" w:left="720" w:header="432" w:footer="288" w:gutter="0"/>
      <w:pgNumType w:fmt="decimal"/>
      <w:formProt w:val="false"/>
      <w:textDirection w:val="lrTb"/>
      <w:docGrid w:type="default" w:linePitch="100" w:charSpace="0"/>
    </w:sectPr>
  </w:body>
</w:document>
</file>

<file path=word/fontTable.xml><?xml version="1.0" encoding="utf-8"?>
<w:font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Liberation Sans">
    <w:altName w:val="Arial"/>
    <w:charset w:val="01"/>
    <w:family w:val="roman"/>
    <w:pitch w:val="variable"/>
  </w:font>
  <w:font w:name="Calibri">
    <w:charset w:val="01"/>
    <w:family w:val="roman"/>
    <w:pitch w:val="variable"/>
  </w:font>
  <w:font w:name="Cambria">
    <w:charset w:val="01"/>
    <w:family w:val="roman"/>
    <w:pitch w:val="variable"/>
  </w:font>
</w:fonts>
</file>

<file path=word/footer1.xml><?xml version="1.0" encoding="utf-8"?>
<w:ft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Footer"/>
      <w:spacing w:before="0" w:after="120"/>
      <w:jc w:val="center"/>
      <w:rPr/>
    </w:pPr>
    <w:r>
      <w:rPr>
        <w:rFonts w:ascii="Cambria" w:hAnsi="Cambria"/>
      </w:rPr>
      <w:t xml:space="preserve">PAGE </w:t>
    </w:r>
    <w:r>
      <w:rPr/>
      <w:fldChar w:fldCharType="begin"/>
    </w:r>
    <w:r>
      <w:rPr/>
      <w:instrText> PAGE </w:instrText>
    </w:r>
    <w:r>
      <w:rPr/>
      <w:fldChar w:fldCharType="separate"/>
    </w:r>
    <w:r>
      <w:rPr/>
      <w:t>1</w:t>
    </w:r>
    <w:r>
      <w:rPr/>
      <w:fldChar w:fldCharType="end"/>
    </w:r>
    <w:r>
      <w:rPr>
        <w:rFonts w:ascii="Cambria" w:hAnsi="Cambria"/>
        <w:sz w:val="18"/>
        <w:szCs w:val="18"/>
      </w:rPr>
      <w:t xml:space="preserve"> - </w:t>
    </w:r>
    <w:r>
      <w:rPr/>
      <w:fldChar w:fldCharType="begin"/>
    </w:r>
    <w:r>
      <w:rPr/>
      <w:instrText> DATE \@"M\/d\/yy" </w:instrText>
    </w:r>
    <w:r>
      <w:rPr/>
      <w:fldChar w:fldCharType="separate"/>
    </w:r>
    <w:r>
      <w:rPr/>
      <w:t>2/15/24</w:t>
    </w:r>
    <w:r>
      <w:rPr/>
      <w:fldChar w:fldCharType="end"/>
    </w:r>
  </w:p>
</w:ftr>
</file>

<file path=word/header1.xml><?xml version="1.0" encoding="utf-8"?>
<w:hd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Header"/>
      <w:rPr/>
    </w:pPr>
    <w:r>
      <w:drawing>
        <wp:anchor distT="0" distB="0" distL="0" distR="0" simplePos="false" relativeHeight="2" behindDoc="false" locked="false" layoutInCell="false" allowOverlap="true">
          <wp:simplePos x="0" y="0"/>
          <wp:positionH relativeFrom="column">
            <wp:posOffset>-114300</wp:posOffset>
          </wp:positionH>
          <wp:positionV relativeFrom="paragraph">
            <wp:posOffset>-33020</wp:posOffset>
          </wp:positionV>
          <wp:extent cx="2038350" cy="743585"/>
          <wp:effectExtent l="0" t="0" r="0" b="0"/>
          <wp:wrapTight wrapText="bothSides">
            <wp:wrapPolygon edited="false">
              <wp:start x="-107" y="0"/>
              <wp:lineTo x="-107" y="21095"/>
              <wp:lineTo x="21436" y="21095"/>
              <wp:lineTo x="21436" y="0"/>
              <wp:lineTo x="-107" y="0"/>
            </wp:wrapPolygon>
          </wp:wrapTight>
          <wp:docPr id="1" name="Image1" descr=""/>
          <wp:cNvGraphicFramePr>
            <a:graphicFrameLocks noChangeAspect="true"/>
          </wp:cNvGraphicFramePr>
          <a:graphic>
            <a:graphicData uri="http://schemas.openxmlformats.org/drawingml/2006/picture">
              <pic:pic>
                <pic:nvPicPr>
                  <pic:cNvPr id="1" name="Image1" descr=""/>
                  <pic:cNvPicPr>
                    <a:picLocks noChangeAspect="true" noChangeArrowheads="true"/>
                  </pic:cNvPicPr>
                </pic:nvPicPr>
                <pic:blipFill>
                  <a:blip r:embed="rId1"/>
                  <a:stretch>
                    <a:fillRect/>
                  </a:stretch>
                </pic:blipFill>
                <pic:spPr bwMode="auto">
                  <a:xfrm>
                    <a:off x="0" y="0"/>
                    <a:ext cx="2038350" cy="743585"/>
                  </a:xfrm>
                  <a:prstGeom prst="rect">
                    <a:avLst/>
                  </a:prstGeom>
                </pic:spPr>
              </pic:pic>
            </a:graphicData>
          </a:graphic>
        </wp:anchor>
      </w:drawing>
    </w:r>
    <w:r>
      <w:rPr/>
      <w:t xml:space="preserve">   </w:t>
    </w:r>
  </w:p>
  <w:p>
    <w:pPr>
      <w:pStyle w:val="Header"/>
      <w:jc w:val="center"/>
      <w:rPr/>
    </w:pPr>
    <w:r>
      <w:rPr/>
      <w:t xml:space="preserve">                                                      </w:t>
    </w:r>
    <w:r>
      <w:rPr>
        <w:b/>
        <w:bCs/>
        <w:sz w:val="32"/>
        <w:szCs w:val="32"/>
      </w:rPr>
      <w:t>Des Moines University 2025 Bill Tracker</w:t>
    </w:r>
  </w:p>
  <w:p>
    <w:pPr>
      <w:pStyle w:val="Header"/>
      <w:jc w:val="center"/>
      <w:rPr>
        <w:b/>
        <w:bCs/>
        <w:sz w:val="32"/>
        <w:szCs w:val="32"/>
      </w:rPr>
    </w:pPr>
    <w:r>
      <w:rPr>
        <w:b/>
        <w:bCs/>
        <w:sz w:val="32"/>
        <w:szCs w:val="32"/>
      </w:rPr>
    </w:r>
  </w:p>
  <w:p>
    <w:pPr>
      <w:pStyle w:val="Header"/>
      <w:jc w:val="center"/>
      <w:rPr>
        <w:b/>
        <w:bCs/>
        <w:sz w:val="24"/>
        <w:szCs w:val="24"/>
      </w:rPr>
    </w:pPr>
    <w:r>
      <w:rPr>
        <w:b/>
        <w:bCs/>
        <w:sz w:val="24"/>
        <w:szCs w:val="24"/>
      </w:rPr>
    </w:r>
  </w:p>
</w:hdr>
</file>

<file path=word/settings.xml><?xml version="1.0" encoding="utf-8"?>
<w:setting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 w:eastAsia="" w:bidi=""/>
</w:settings>
</file>

<file path=word/styles.xml><?xml version="1.0" encoding="utf-8"?>
<w:style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docDefaults>
    <w:rPrDefault>
      <w:rPr>
        <w:rFonts w:ascii="Times New Roman" w:hAnsi="Times New Roman" w:eastAsia="Arial Unicode MS" w:cs="Times New Roman"/>
        <w:lang w:val="en-US" w:eastAsia="zh-CN" w:bidi="hi-IN"/>
      </w:rPr>
    </w:rPrDefault>
    <w:pPrDefault>
      <w:pPr>
        <w:suppressAutoHyphens w:val="tru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pPr>
      <w:widowControl/>
      <w:suppressAutoHyphens w:val="false"/>
      <w:bidi w:val="false"/>
      <w:spacing w:before="0" w:after="0"/>
      <w:jc w:val="left"/>
    </w:pPr>
    <w:rPr>
      <w:rFonts w:ascii="Gill Sans MT" w:hAnsi="Times New Roman" w:eastAsia="Arial Unicode MS" w:cs="Times New Roman"/>
      <w:color w:val="auto"/>
      <w:kern w:val="0"/>
      <w:sz w:val="24"/>
      <w:szCs w:val="24"/>
      <w:u w:val="none" w:color="FFFFFF"/>
      <w:lang w:val="en-US" w:eastAsia="en-US" w:bidi="ar-SA"/>
    </w:rPr>
  </w:style>
  <w:style w:type="character" w:styleId="DefaultParagraphFont" w:default="true">
    <w:name w:val="Default Paragraph Font"/>
    <w:uiPriority w:val="1"/>
    <w:semiHidden/>
    <w:unhideWhenUsed/>
    <w:qFormat/>
    <w:rPr/>
  </w:style>
  <w:style w:type="character" w:styleId="InternetLink">
    <w:name w:val="Hyperlink"/>
    <w:rPr>
      <w:rFonts w:ascii="Gill Sans MT"/>
      <w:b w:val="true"/>
      <w:color w:val="000000"/>
      <w:sz w:val="22"/>
      <w:u w:val="single" w:color="000000"/>
    </w:rPr>
  </w:style>
  <w:style w:type="paragraph" w:styleId="Heading" w:customStyle="true">
    <w:name w:val="Heading"/>
    <w:basedOn w:val="Normal"/>
    <w:next w:val="TextBody"/>
    <w:qFormat/>
    <w:pPr>
      <w:keepNext w:val="true"/>
      <w:spacing w:before="240" w:after="120"/>
    </w:pPr>
    <w:rPr>
      <w:rFonts w:ascii="Liberation Sans" w:hAnsi="Liberation Sans" w:eastAsia="PingFang SC" w:cs="Arial Unicode MS"/>
      <w:sz w:val="28"/>
      <w:szCs w:val="28"/>
    </w:rPr>
  </w:style>
  <w:style w:type="paragraph" w:styleId="TextBody">
    <w:name w:val="Body Text"/>
    <w:basedOn w:val="Normal"/>
    <w:pPr>
      <w:spacing w:before="0" w:after="140" w:line="276" w:lineRule="auto"/>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customStyle="true">
    <w:name w:val="Index"/>
    <w:basedOn w:val="Normal"/>
    <w:qFormat/>
    <w:pPr>
      <w:suppressLineNumbers/>
    </w:pPr>
    <w:rPr>
      <w:rFonts w:cs="Arial Unicode MS"/>
    </w:rPr>
  </w:style>
  <w:style w:type="paragraph" w:styleId="Caption1">
    <w:name w:val="caption"/>
    <w:basedOn w:val="Normal"/>
    <w:qFormat/>
    <w:pPr>
      <w:suppressLineNumbers/>
      <w:spacing w:before="120" w:after="120"/>
    </w:pPr>
    <w:rPr>
      <w:rFonts w:cs="Arial Unicode MS"/>
      <w:i/>
      <w:iCs/>
    </w:rPr>
  </w:style>
  <w:style w:type="paragraph" w:styleId="Body" w:customStyle="true">
    <w:name w:val="Body"/>
    <w:qFormat/>
    <w:pPr>
      <w:widowControl/>
      <w:suppressAutoHyphens w:val="true"/>
      <w:bidi w:val="false"/>
      <w:spacing w:before="0" w:after="120" w:line="276" w:lineRule="auto"/>
      <w:jc w:val="left"/>
    </w:pPr>
    <w:rPr>
      <w:rFonts w:ascii="Calibri" w:hAnsi="Calibri" w:eastAsia="Arial Unicode MS" w:cs="Arial Unicode MS"/>
      <w:color w:val="00000A"/>
      <w:kern w:val="0"/>
      <w:sz w:val="22"/>
      <w:szCs w:val="22"/>
      <w:u w:val="none" w:color="00000A"/>
      <w:lang w:val="de-DE" w:eastAsia="zh-CN" w:bidi="hi-IN"/>
    </w:rPr>
  </w:style>
  <w:style w:type="paragraph" w:styleId="HeaderandFooter" w:customStyle="true">
    <w:name w:val="Header and Footer"/>
    <w:basedOn w:val="Normal"/>
    <w:qFormat/>
    <w:pPr/>
    <w:rPr/>
  </w:style>
  <w:style w:type="paragraph" w:styleId="Footer">
    <w:name w:val="Footer"/>
    <w:pPr>
      <w:widowControl/>
      <w:tabs>
        <w:tab w:val="clear" w:pos="720"/>
        <w:tab w:val="center" w:leader="none" w:pos="4680"/>
        <w:tab w:val="right" w:leader="none" w:pos="9360"/>
      </w:tabs>
      <w:suppressAutoHyphens w:val="true"/>
      <w:bidi w:val="false"/>
      <w:spacing w:before="0" w:after="0"/>
      <w:jc w:val="left"/>
    </w:pPr>
    <w:rPr>
      <w:rFonts w:ascii="Calibri" w:hAnsi="Calibri" w:eastAsia="Arial Unicode MS" w:cs="Arial Unicode MS"/>
      <w:color w:val="00000A"/>
      <w:kern w:val="0"/>
      <w:sz w:val="22"/>
      <w:szCs w:val="22"/>
      <w:u w:val="none" w:color="00000A"/>
      <w:lang w:val="en-US" w:eastAsia="zh-CN" w:bidi="hi-IN"/>
    </w:rPr>
  </w:style>
  <w:style w:type="paragraph" w:styleId="Header">
    <w:name w:val="Header"/>
    <w:basedOn w:val="HeaderandFooter"/>
    <w:pPr/>
    <w:rPr/>
  </w:style>
  <w:style w:type="numbering" w:styleId="NoList" w:default="true">
    <w:name w:val="No List"/>
    <w:uiPriority w:val="99"/>
    <w:semiHidden/>
    <w:unhideWhenUsed/>
    <w:qFormat/>
  </w:style>
  <w:style w:type="table" w:styleId="TableNormal" w:default="true">
    <w:name w:val="Normal Table"/>
    <w:uiPriority w:val="99"/>
    <w:semiHidden/>
    <w:unhideWhenUsed/>
    <w:tblPr>
      <w:tblCellMar>
        <w:top w:w="0" w:type="dxa"/>
        <w:left w:w="108" w:type="dxa"/>
        <w:bottom w:w="0" w:type="dxa"/>
        <w:right w:w="108" w:type="dxa"/>
      </w:tblCellMar>
    </w:tbl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Relationship Target="header1.xml" Type="http://schemas.openxmlformats.org/officeDocument/2006/relationships/header" Id="rId2"></Relationship><Relationship Target="footer1.xml" Type="http://schemas.openxmlformats.org/officeDocument/2006/relationships/footer" Id="rId3"></Relationship><Relationship Target="fontTable.xml" Type="http://schemas.openxmlformats.org/officeDocument/2006/relationships/fontTable" Id="rId4"></Relationship><Relationship Target="settings.xml" Type="http://schemas.openxmlformats.org/officeDocument/2006/relationships/settings" Id="rId5"></Relationship><Relationship Target="theme/theme1.xml" Type="http://schemas.openxmlformats.org/officeDocument/2006/relationships/theme" Id="rId6"></Relationship><Relationship TargetMode="External" Target="https://www.legis.iowa.gov/legislation/BillBook?ga=91&amp;ba=HF300" Type="http://schemas.openxmlformats.org/officeDocument/2006/relationships/hyperlink" Id="rId7"/><Relationship TargetMode="External" Target="https://www.legis.iowa.gov/legislation/BillBook?ga=91&amp;ba=SF312" Type="http://schemas.openxmlformats.org/officeDocument/2006/relationships/hyperlink" Id="rId8"/><Relationship TargetMode="External" Target="https://www.legis.iowa.gov/legislation/BillBook?ga=91&amp;ba=HF310" Type="http://schemas.openxmlformats.org/officeDocument/2006/relationships/hyperlink" Id="rId9"/><Relationship TargetMode="External" Target="https://www.legis.iowa.gov/legislation/BillBook?ga=91&amp;ba=HF386" Type="http://schemas.openxmlformats.org/officeDocument/2006/relationships/hyperlink" Id="rId10"/><Relationship TargetMode="External" Target="https://www.legis.iowa.gov/legislation/BillBook?ga=91&amp;ba=HF146" Type="http://schemas.openxmlformats.org/officeDocument/2006/relationships/hyperlink" Id="rId11"/><Relationship TargetMode="External" Target="https://www.legis.iowa.gov/legislation/BillBook?ga=91&amp;ba=HF571" Type="http://schemas.openxmlformats.org/officeDocument/2006/relationships/hyperlink" Id="rId12"/><Relationship TargetMode="External" Target="https://www.legis.iowa.gov/legislation/BillBook?ga=91&amp;ba=SF220" Type="http://schemas.openxmlformats.org/officeDocument/2006/relationships/hyperlink" Id="rId13"/><Relationship TargetMode="External" Target="https://www.legis.iowa.gov/legislation/BillBook?ga=91&amp;ba=SF220" Type="http://schemas.openxmlformats.org/officeDocument/2006/relationships/hyperlink" Id="rId14"/><Relationship TargetMode="External" Target="https://www.legis.iowa.gov/legislation/BillBook?ga=91&amp;ba=HF571" Type="http://schemas.openxmlformats.org/officeDocument/2006/relationships/hyperlink" Id="rId15"/><Relationship TargetMode="External" Target="https://www.legis.iowa.gov/legislation/BillBook?ga=91&amp;ba=HF972" Type="http://schemas.openxmlformats.org/officeDocument/2006/relationships/hyperlink" Id="rId16"/><Relationship TargetMode="External" Target="https://www.legis.iowa.gov/legislation/BillBook?ga=91&amp;ba=SF618" Type="http://schemas.openxmlformats.org/officeDocument/2006/relationships/hyperlink" Id="rId17"/><Relationship TargetMode="External" Target="https://www.legis.iowa.gov/legislation/BillBook?ga=91&amp;ba=SF618" Type="http://schemas.openxmlformats.org/officeDocument/2006/relationships/hyperlink" Id="rId18"/><Relationship TargetMode="External" Target="https://www.legis.iowa.gov/legislation/BillBook?ga=91&amp;ba=HF972" Type="http://schemas.openxmlformats.org/officeDocument/2006/relationships/hyperlink" Id="rId19"/><Relationship TargetMode="External" Target="https://www.legis.iowa.gov/legislation/BillBook?ga=91&amp;ba=SF469" Type="http://schemas.openxmlformats.org/officeDocument/2006/relationships/hyperlink" Id="rId20"/><Relationship TargetMode="External" Target="https://www.legis.iowa.gov/legislation/BillBook?ga=91&amp;ba=HF4" Type="http://schemas.openxmlformats.org/officeDocument/2006/relationships/hyperlink" Id="rId21"/><Relationship TargetMode="External" Target="https://www.legis.iowa.gov/legislation/BillBook?ga=91&amp;ba=HF13" Type="http://schemas.openxmlformats.org/officeDocument/2006/relationships/hyperlink" Id="rId22"/><Relationship TargetMode="External" Target="https://www.legis.iowa.gov/legislation/BillBook?ga=91&amp;ba=HF35" Type="http://schemas.openxmlformats.org/officeDocument/2006/relationships/hyperlink" Id="rId23"/><Relationship TargetMode="External" Target="https://www.legis.iowa.gov/legislation/BillBook?ga=91&amp;ba=HF61" Type="http://schemas.openxmlformats.org/officeDocument/2006/relationships/hyperlink" Id="rId24"/><Relationship TargetMode="External" Target="https://www.legis.iowa.gov/legislation/BillBook?ga=91&amp;ba=HF301" Type="http://schemas.openxmlformats.org/officeDocument/2006/relationships/hyperlink" Id="rId25"/><Relationship TargetMode="External" Target="https://www.legis.iowa.gov/legislation/BillBook?ga=91&amp;ba=HF147" Type="http://schemas.openxmlformats.org/officeDocument/2006/relationships/hyperlink" Id="rId26"/><Relationship TargetMode="External" Target="https://www.legis.iowa.gov/legislation/BillBook?ga=91&amp;ba=HF379" Type="http://schemas.openxmlformats.org/officeDocument/2006/relationships/hyperlink" Id="rId27"/><Relationship TargetMode="External" Target="https://www.legis.iowa.gov/legislation/BillBook?ga=91&amp;ba=HF409" Type="http://schemas.openxmlformats.org/officeDocument/2006/relationships/hyperlink" Id="rId28"/><Relationship TargetMode="External" Target="https://www.legis.iowa.gov/legislation/BillBook?ga=91&amp;ba=HF703" Type="http://schemas.openxmlformats.org/officeDocument/2006/relationships/hyperlink" Id="rId29"/><Relationship TargetMode="External" Target="https://www.legis.iowa.gov/legislation/BillBook?ga=91&amp;ba=HF854" Type="http://schemas.openxmlformats.org/officeDocument/2006/relationships/hyperlink" Id="rId30"/><Relationship TargetMode="External" Target="https://www.legis.iowa.gov/legislation/BillBook?ga=91&amp;ba=HF930" Type="http://schemas.openxmlformats.org/officeDocument/2006/relationships/hyperlink" Id="rId31"/><Relationship TargetMode="External" Target="https://www.legis.iowa.gov/legislation/BillBook?ga=91&amp;ba=HSB96" Type="http://schemas.openxmlformats.org/officeDocument/2006/relationships/hyperlink" Id="rId32"/><Relationship TargetMode="External" Target="https://www.legis.iowa.gov/legislation/BillBook?ga=91&amp;ba=SF319" Type="http://schemas.openxmlformats.org/officeDocument/2006/relationships/hyperlink" Id="rId33"/><Relationship TargetMode="External" Target="https://www.legis.iowa.gov/legislation/BillBook?ga=91&amp;ba=SF360" Type="http://schemas.openxmlformats.org/officeDocument/2006/relationships/hyperlink" Id="rId34"/></Relationships>
</file>

<file path=word/_rels/header1.xml.rels><?xml version="1.0" encoding="UTF-8" standalone="yes"?><Relationships xmlns="http://schemas.openxmlformats.org/package/2006/relationships"><Relationship Target="media/image1.jpeg" Type="http://schemas.openxmlformats.org/officeDocument/2006/relationships/image" Id="rId1"></Relationship></Relationships>
</file>

<file path=word/theme/theme1.xml><?xml version="1.0" encoding="utf-8"?>
<a:theme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tint val="100000"/>
                <a:shade val="100000"/>
                <a:satMod val="129999"/>
              </a:schemeClr>
            </a:gs>
            <a:gs pos="100000">
              <a:schemeClr val="phClr">
                <a:tint val="50000"/>
                <a:shade val="100000"/>
                <a:satMod val="350000"/>
              </a:schemeClr>
            </a:gs>
          </a:gsLst>
          <a:lin ang="16200000" scaled="false"/>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false">
              <a:srgbClr val="000000">
                <a:alpha val="35000"/>
              </a:srgbClr>
            </a:outerShdw>
          </a:effectLst>
        </a:effectStyle>
        <a:effectStyle>
          <a:effectLst>
            <a:outerShdw blurRad="38100" dist="23000" dir="5400000" rotWithShape="false">
              <a:srgbClr val="000000">
                <a:alpha val="35000"/>
              </a:srgbClr>
            </a:outerShdw>
          </a:effectLst>
        </a:effectStyle>
        <a:effectStyle>
          <a:effectLst>
            <a:outerShdw blurRad="38100" dist="20000" dir="5400000" rotWithShape="false">
              <a:srgbClr val="000000">
                <a:alpha val="38000"/>
              </a:srgbClr>
            </a:outerShdw>
          </a:effectLst>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false">
            <a:srgbClr val="000000">
              <a:alpha val="35000"/>
            </a:srgbClr>
          </a:outerShdw>
        </a:effectLst>
        <a:sp3d/>
      </a:spPr>
      <a:bodyPr rot="0" spcFirstLastPara="true" vertOverflow="overflow" horzOverflow="overflow" vert="horz" wrap="square" lIns="45719" tIns="45719" rIns="45719" bIns="45719" numCol="1" spcCol="38100" rtlCol="false" anchor="ctr">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false">
            <a:srgbClr val="000000">
              <a:alpha val="38000"/>
            </a:srgbClr>
          </a:outerShdw>
        </a:effectLst>
        <a:sp3d/>
      </a:spPr>
      <a:bodyPr rot="0" spcFirstLastPara="true" vertOverflow="overflow" horzOverflow="overflow" vert="horz" wrap="square" lIns="91439" tIns="45719" rIns="91439" bIns="45719" numCol="1" spcCol="38100" rtlCol="false" anchor="t">
        <a:noAutofit/>
      </a:bodyPr>
      <a:lstStyle>
        <a:def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true" vertOverflow="overflow" horzOverflow="overflow" vert="horz" wrap="square" lIns="45719" tIns="45719" rIns="45719" bIns="45719" numCol="1" spcCol="38100" rtlCol="false" anchor="t">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Properties xmlns:properties="http://schemas.openxmlformats.org/officeDocument/2006/extended-properties" xmlns:vt="http://schemas.openxmlformats.org/officeDocument/2006/docPropsVTypes">
  <properties:Template>Normal.dotm</properties:Template>
  <properties:Pages>1</properties:Pages>
  <properties:Words>5</properties:Words>
  <properties:Characters>19</properties:Characters>
  <properties:Paragraphs>3</properties:Paragraphs>
  <properties:TotalTime>203</properties:TotalTime>
  <properties:CharactersWithSpaces>79</properties:CharactersWithSpaces>
  <properties:Application>docx4j</properties:Application>
  <properties:AppVersion>2.7</properties:AppVersion>
</properties:Properties>
</file>

<file path=docProps/core.xml><?xml version="1.0" encoding="utf-8"?>
<cp:coreProperties xmlns:cp="http://schemas.openxmlformats.org/package/2006/metadata/core-properties" xmlns:dcterms="http://purl.org/dc/terms/" xmlns:dc="http://purl.org/dc/elements/1.1/">
  <dcterms:created xmlns:xsi="http://www.w3.org/2001/XMLSchema-instance" xsi:type="dcterms:W3CDTF">2023-11-21T15:17:00Z</dcterms:created>
  <dc:creator>Nick Laning</dc:creator>
  <dc:description/>
  <dc:language>en-US</dc:language>
  <cp:lastModifiedBy>docx4j</cp:lastModifiedBy>
  <dcterms:modified xmlns:xsi="http://www.w3.org/2001/XMLSchema-instance" xsi:type="dcterms:W3CDTF">2024-02-15T13:39:37Z</dcterms:modified>
  <cp:revision>11</cp:revision>
  <dc:subject/>
  <dc:title/>
</cp:coreProperties>
</file>

<file path=docProps/custom.xml><?xml version="1.0" encoding="utf-8"?>
<prop:Properties xmlns:vt="http://schemas.openxmlformats.org/officeDocument/2006/docPropsVTypes" xmlns:prop="http://schemas.openxmlformats.org/officeDocument/2006/custom-properties"/>
</file>