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ContentType="application/vnd.openxmlformats-package.relationships+xml" PartName="/_rels/.rels"/>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package.relationships+xml" PartName="/word/_rels/document.xml.rels"/>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image/jpeg" PartName="/word/media/image1.jpe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Target="docProps/core.xml" Type="http://schemas.openxmlformats.org/package/2006/relationships/metadata/core-properties" Id="rId1"></Relationship><Relationship Target="docProps/app.xml" Type="http://schemas.openxmlformats.org/officeDocument/2006/relationships/extended-properties" Id="rId2"></Relationship><Relationship Target="docProps/custom.xml" Type="http://schemas.openxmlformats.org/officeDocument/2006/relationships/custom-properties" Id="rId3"></Relationship><Relationship Target="word/document.xml" Type="http://schemas.openxmlformats.org/officeDocument/2006/relationships/officeDocument" Id="rId4"></Relationship></Relationships>
</file>

<file path=word/document.xml><?xml version="1.0" encoding="utf-8"?>
<w:document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body>
    <w:p>
      <w:pPr>
        <w:pStyle w:val="Body"/>
        <w:spacing w:before="0" w:after="0" w:line="240" w:lineRule="auto"/>
        <w:jc w:val="left"/>
        <w:rPr/>
      </w:pPr>
      <w:r>
        <w:rPr/>
        <w:drawing>
          <wp:anchor distT="0" distB="0" distL="0" distR="0" simplePos="false" relativeHeight="2" behindDoc="false" locked="false" layoutInCell="false" allowOverlap="true">
            <wp:simplePos x="0" y="0"/>
            <wp:positionH relativeFrom="column">
              <wp:posOffset>53340</wp:posOffset>
            </wp:positionH>
            <wp:positionV relativeFrom="paragraph">
              <wp:posOffset>-775335</wp:posOffset>
            </wp:positionV>
            <wp:extent cx="2038350" cy="743585"/>
            <wp:effectExtent l="0" t="0" r="0" b="0"/>
            <wp:wrapSquare wrapText="largest"/>
            <wp:docPr id="1" name="Image1" descr=""/>
            <wp:cNvGraphicFramePr>
              <a:graphicFrameLocks noChangeAspect="true"/>
            </wp:cNvGraphicFramePr>
            <a:graphic>
              <a:graphicData uri="http://schemas.openxmlformats.org/drawingml/2006/picture">
                <pic:pic>
                  <pic:nvPicPr>
                    <pic:cNvPr id="1" name="Image1" descr=""/>
                    <pic:cNvPicPr>
                      <a:picLocks noChangeAspect="true" noChangeArrowheads="true"/>
                    </pic:cNvPicPr>
                  </pic:nvPicPr>
                  <pic:blipFill>
                    <a:blip r:embed="rId2"/>
                    <a:stretch>
                      <a:fillRect/>
                    </a:stretch>
                  </pic:blipFill>
                  <pic:spPr bwMode="auto">
                    <a:xfrm>
                      <a:off x="0" y="0"/>
                      <a:ext cx="2038350" cy="743585"/>
                    </a:xfrm>
                    <a:prstGeom prst="rect">
                      <a:avLst/>
                    </a:prstGeom>
                  </pic:spPr>
                </pic:pic>
              </a:graphicData>
            </a:graphic>
          </wp:anchor>
        </w:drawing>
      </w:r>
    </w:p>
    <w:p>
      <w:r>
        <w:rPr>
          <w:sz w:val="24"/>
        </w:rPr>
        <w:t/>
      </w:r>
    </w:p>
    <w:p>
      <w:pPr>
        <w:spacing w:before="0" w:after="0"/>
      </w:pPr>
      <w:r>
        <w:rPr>
          <w:b w:val="true"/>
          <w:sz w:val="48"/>
          <w:u w:val="single"/>
        </w:rPr>
        <w:t>Signed by the Governor</w:t>
      </w:r>
    </w:p>
    <w:p>
      <w:r>
        <w:rPr>
          <w:sz w:val="48"/>
        </w:rPr>
        <w:t/>
      </w:r>
    </w:p>
    <w:tbl>
      <w:tblPr>
        <w:tblStyle w:val="TableGrid"/>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tblPr>
      <w:tblGrid>
        <w:gridCol w:w="2160"/>
        <w:gridCol w:w="3600"/>
        <w:gridCol w:w="4320"/>
        <w:gridCol w:w="4320"/>
      </w:tblGrid>
      <w:tr>
        <w:trPr>
          <w:tblHeader w:val="true"/>
          <w:cantSplit w:val="true"/>
        </w:trPr>
        <w:tc>
          <w:tcPr>
            <w:tcW w:w="2160" w:type="dxa"/>
            <w:shd w:val="clear" w:color="auto" w:fill="8EB4E0"/>
          </w:tcPr>
          <w:p>
            <w:pPr>
              <w:jc w:val="left"/>
            </w:pPr>
            <w:r>
              <w:rPr>
                <w:b w:val="true"/>
                <w:sz w:val="22"/>
              </w:rPr>
              <w:t>BILL</w:t>
            </w:r>
          </w:p>
        </w:tc>
        <w:tc>
          <w:tcPr>
            <w:tcW w:type="right"/>
            <w:shd w:val="clear" w:color="auto" w:fill="8EB4E0"/>
          </w:tcPr>
          <w:p>
            <w:pPr>
              <w:jc w:val="left"/>
            </w:pPr>
            <w:r>
              <w:rPr>
                <w:b w:val="true"/>
                <w:sz w:val="22"/>
              </w:rPr>
              <w:t>DESCRIPTION</w:t>
            </w:r>
          </w:p>
        </w:tc>
        <w:tc>
          <w:tcPr>
            <w:tcW w:type="right"/>
            <w:shd w:val="clear" w:color="auto" w:fill="8EB4E0"/>
          </w:tcPr>
          <w:p>
            <w:pPr>
              <w:jc w:val="left"/>
            </w:pPr>
            <w:r>
              <w:rPr>
                <w:b w:val="true"/>
                <w:sz w:val="22"/>
              </w:rPr>
              <w:t>STATUS</w:t>
            </w:r>
          </w:p>
        </w:tc>
        <w:tc>
          <w:tcPr>
            <w:tcW w:type="right"/>
            <w:shd w:val="clear" w:color="auto" w:fill="8EB4E0"/>
          </w:tcPr>
          <w:p>
            <w:pPr>
              <w:jc w:val="left"/>
            </w:pPr>
            <w:r>
              <w:rPr>
                <w:b w:val="true"/>
                <w:sz w:val="22"/>
              </w:rPr>
              <w:t>NOTE</w:t>
            </w:r>
          </w:p>
        </w:tc>
      </w:tr>
      <w:tr>
        <w:trPr>
          <w:cantSplit w:val="true"/>
        </w:trPr>
        <w:tc>
          <w:tcPr>
            <w:tcW w:w="2160" w:type="dxa"/>
            <w:noWrap w:val="false"/>
          </w:tcPr>
          <w:p>
            <w:hyperlink r:id="rId8">
              <w:r>
                <w:rPr>
                  <w:rStyle w:val="Hyperlink"/>
                </w:rPr>
                <w:t xml:space="preserve">HF 423</w:t>
              </w:r>
            </w:hyperlink>
          </w:p>
          <w:p>
            <w:hyperlink r:id="rId9">
              <w:r>
                <w:rPr>
                  <w:rStyle w:val="Hyperlink"/>
                </w:rPr>
                <w:t xml:space="preserve">CO:SF 419</w:t>
              </w:r>
            </w:hyperlink>
          </w:p>
        </w:tc>
        <w:tc>
          <w:tcPr>
            <w:tcW w:w="3600" w:type="dxa"/>
            <w:noWrap w:val="false"/>
          </w:tcPr>
          <w:p>
            <w:r>
              <w:rPr>
                <w:sz w:val="20"/>
              </w:rPr>
              <w:t>A bill for an act relating to contract pharmacies and covered entities that participate in the 340B drug program. (Formerly HSB 137.) Effective date: 07/01/2023.</w:t>
            </w:r>
          </w:p>
        </w:tc>
        <w:tc>
          <w:tcPr>
            <w:tcW w:w="4320" w:type="dxa"/>
            <w:noWrap w:val="false"/>
          </w:tcPr>
          <w:p>
            <w:r>
              <w:rPr>
                <w:sz w:val="20"/>
              </w:rPr>
              <w:t>Signed by Governor. (4/28/23)</w:t>
            </w:r>
            <w:br/>
            <w:r>
              <w:rPr>
                <w:sz w:val="20"/>
              </w:rPr>
              <w:t>Passed House, yeas 98, nays 0. (3/7/23)</w:t>
            </w:r>
            <w:br/>
            <w:r>
              <w:rPr>
                <w:sz w:val="20"/>
              </w:rPr>
              <w:t>Passed Senate, yeas 49, nays 1. (4/20/23)</w:t>
            </w:r>
          </w:p>
        </w:tc>
        <w:tc>
          <w:tcPr>
            <w:tcW w:w="4320" w:type="dxa"/>
            <w:noWrap w:val="false"/>
          </w:tcPr>
          <w:p>
            <w:pPr>
              <w:spacing w:before="0" w:after="0"/>
            </w:pPr>
            <w:r>
              <w:t/>
            </w:r>
          </w:p>
        </w:tc>
      </w:tr>
      <w:tr>
        <w:trPr>
          <w:cantSplit w:val="true"/>
        </w:trPr>
        <w:tc>
          <w:tcPr>
            <w:tcW w:w="2160" w:type="dxa"/>
            <w:noWrap w:val="false"/>
          </w:tcPr>
          <w:p>
            <w:hyperlink r:id="rId10">
              <w:r>
                <w:rPr>
                  <w:rStyle w:val="Hyperlink"/>
                </w:rPr>
                <w:t xml:space="preserve">HF 685</w:t>
              </w:r>
            </w:hyperlink>
          </w:p>
        </w:tc>
        <w:tc>
          <w:tcPr>
            <w:tcW w:w="3600" w:type="dxa"/>
            <w:noWrap w:val="false"/>
          </w:tcPr>
          <w:p>
            <w:r>
              <w:rPr>
                <w:sz w:val="20"/>
              </w:rPr>
              <w:t>A bill for an act relating to health care services and financing, including nursing facility licensing and financing and the Medicaid program including third-party recovery and taxation of Medicaid managed care organization premiums. (Formerly HF 525, HSB 177.) Effective date: 07/01/2023.</w:t>
            </w:r>
          </w:p>
        </w:tc>
        <w:tc>
          <w:tcPr>
            <w:tcW w:w="4320" w:type="dxa"/>
            <w:noWrap w:val="false"/>
          </w:tcPr>
          <w:p>
            <w:r>
              <w:rPr>
                <w:sz w:val="20"/>
              </w:rPr>
              <w:t>Signed by Governor. (6/1/23)</w:t>
            </w:r>
            <w:br/>
            <w:r>
              <w:rPr>
                <w:sz w:val="20"/>
              </w:rPr>
              <w:t>Passed House, yeas 98, nays 0. (4/11/23)</w:t>
            </w:r>
            <w:br/>
            <w:r>
              <w:rPr>
                <w:sz w:val="20"/>
              </w:rPr>
              <w:t>Passed Senate, yeas 49, nays 0. (4/26/23)</w:t>
            </w:r>
            <w:br/>
            <w:r>
              <w:rPr>
                <w:sz w:val="20"/>
              </w:rPr>
              <w:t>Passed House, yeas 91, nays 3. (5/1/23)</w:t>
            </w:r>
          </w:p>
        </w:tc>
        <w:tc>
          <w:tcPr>
            <w:tcW w:w="4320" w:type="dxa"/>
            <w:noWrap w:val="false"/>
          </w:tcPr>
          <w:p>
            <w:pPr>
              <w:spacing w:before="0" w:after="0"/>
            </w:pPr>
            <w:r>
              <w:t/>
            </w:r>
          </w:p>
        </w:tc>
      </w:tr>
      <w:tr>
        <w:trPr>
          <w:cantSplit w:val="true"/>
        </w:trPr>
        <w:tc>
          <w:tcPr>
            <w:tcW w:w="2160" w:type="dxa"/>
            <w:noWrap w:val="false"/>
          </w:tcPr>
          <w:p>
            <w:hyperlink r:id="rId11">
              <w:r>
                <w:rPr>
                  <w:rStyle w:val="Hyperlink"/>
                </w:rPr>
                <w:t xml:space="preserve">HF 708</w:t>
              </w:r>
            </w:hyperlink>
          </w:p>
        </w:tc>
        <w:tc>
          <w:tcPr>
            <w:tcW w:w="3600" w:type="dxa"/>
            <w:noWrap w:val="false"/>
          </w:tcPr>
          <w:p>
            <w:r>
              <w:rPr>
                <w:sz w:val="20"/>
              </w:rPr>
              <w:t>A bill for an act relating to Medicaid reimbursement for services to individuals who meet the nursing home level of care and are required to register as sex offenders. (Formerly HF 451, HF 235.) Effective date: 07/01/2023.</w:t>
            </w:r>
          </w:p>
        </w:tc>
        <w:tc>
          <w:tcPr>
            <w:tcW w:w="4320" w:type="dxa"/>
            <w:noWrap w:val="false"/>
          </w:tcPr>
          <w:p>
            <w:r>
              <w:rPr>
                <w:sz w:val="20"/>
              </w:rPr>
              <w:t>Signed by Governor. (6/1/23)</w:t>
            </w:r>
            <w:br/>
            <w:r>
              <w:rPr>
                <w:sz w:val="20"/>
              </w:rPr>
              <w:t>Passed House, yeas 96, nays 3. (4/13/23)</w:t>
            </w:r>
            <w:br/>
            <w:r>
              <w:rPr>
                <w:sz w:val="20"/>
              </w:rPr>
              <w:t>Passed Senate, yeas 48, nays 0. (5/2/23)</w:t>
            </w:r>
            <w:br/>
            <w:r>
              <w:rPr>
                <w:sz w:val="20"/>
              </w:rPr>
              <w:t>Passed House, yeas 93, nays 0. (5/3/23)</w:t>
            </w:r>
          </w:p>
        </w:tc>
        <w:tc>
          <w:tcPr>
            <w:tcW w:w="4320" w:type="dxa"/>
            <w:noWrap w:val="false"/>
          </w:tcPr>
          <w:p>
            <w:pPr>
              <w:spacing w:before="0" w:after="0"/>
            </w:pPr>
            <w:r>
              <w:t/>
            </w:r>
          </w:p>
        </w:tc>
      </w:tr>
      <w:tr>
        <w:trPr>
          <w:cantSplit w:val="true"/>
        </w:trPr>
        <w:tc>
          <w:tcPr>
            <w:tcW w:w="2160" w:type="dxa"/>
            <w:noWrap w:val="false"/>
          </w:tcPr>
          <w:p>
            <w:hyperlink r:id="rId12">
              <w:r>
                <w:rPr>
                  <w:rStyle w:val="Hyperlink"/>
                </w:rPr>
                <w:t xml:space="preserve">SF 514</w:t>
              </w:r>
            </w:hyperlink>
          </w:p>
        </w:tc>
        <w:tc>
          <w:tcPr>
            <w:tcW w:w="3600" w:type="dxa"/>
            <w:noWrap w:val="false"/>
          </w:tcPr>
          <w:p>
            <w:r>
              <w:rPr>
                <w:sz w:val="20"/>
              </w:rPr>
              <w:t>A bill for an act relating to the organization, structure, and functions of state government, providing for salaries of appointed state officers, providing for penalties, making appropriations, providing Code editor directives and transition provisions, and including applicability and effective date provisions. (Formerly SSB 1123.) Contingent effective date. Applicability date: Enactment, 07/01/2023.</w:t>
            </w:r>
          </w:p>
        </w:tc>
        <w:tc>
          <w:tcPr>
            <w:tcW w:w="4320" w:type="dxa"/>
            <w:noWrap w:val="false"/>
          </w:tcPr>
          <w:p>
            <w:r>
              <w:rPr>
                <w:sz w:val="20"/>
              </w:rPr>
              <w:t>Fiscal note. (5/16/23)</w:t>
            </w:r>
            <w:br/>
            <w:r>
              <w:rPr>
                <w:sz w:val="20"/>
              </w:rPr>
              <w:t>Passed Senate, yeas 34, nays 15. (3/7/23)</w:t>
            </w:r>
            <w:br/>
            <w:r>
              <w:rPr>
                <w:sz w:val="20"/>
              </w:rPr>
              <w:t>Passed House, yeas 58, nays 39. (3/15/23)</w:t>
            </w:r>
          </w:p>
        </w:tc>
        <w:tc>
          <w:tcPr>
            <w:tcW w:w="4320" w:type="dxa"/>
            <w:noWrap w:val="false"/>
          </w:tcPr>
          <w:p>
            <w:pPr>
              <w:spacing w:before="0" w:after="0"/>
            </w:pPr>
            <w:r>
              <w:t/>
            </w:r>
          </w:p>
        </w:tc>
      </w:tr>
    </w:tbl>
    <w:p>
      <w:r>
        <w:rPr>
          <w:sz w:val="24"/>
        </w:rPr>
        <w:t/>
      </w:r>
    </w:p>
    <w:p>
      <w:pPr>
        <w:spacing w:before="0" w:after="0"/>
      </w:pPr>
      <w:r>
        <w:rPr>
          <w:b w:val="true"/>
          <w:sz w:val="48"/>
          <w:u w:val="single"/>
        </w:rPr>
        <w:t>Did Not Advance</w:t>
      </w:r>
    </w:p>
    <w:p>
      <w:r>
        <w:rPr>
          <w:sz w:val="48"/>
        </w:rPr>
        <w:t/>
      </w:r>
    </w:p>
    <w:tbl>
      <w:tblPr>
        <w:tblStyle w:val="TableGrid"/>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tblPr>
      <w:tblGrid>
        <w:gridCol w:w="2160"/>
        <w:gridCol w:w="3600"/>
        <w:gridCol w:w="4320"/>
        <w:gridCol w:w="4320"/>
      </w:tblGrid>
      <w:tr>
        <w:trPr>
          <w:tblHeader w:val="true"/>
          <w:cantSplit w:val="true"/>
        </w:trPr>
        <w:tc>
          <w:tcPr>
            <w:tcW w:w="2160" w:type="dxa"/>
            <w:shd w:val="clear" w:color="auto" w:fill="8EB4E0"/>
          </w:tcPr>
          <w:p>
            <w:pPr>
              <w:jc w:val="left"/>
            </w:pPr>
            <w:r>
              <w:rPr>
                <w:b w:val="true"/>
                <w:sz w:val="22"/>
              </w:rPr>
              <w:t>BILL</w:t>
            </w:r>
          </w:p>
        </w:tc>
        <w:tc>
          <w:tcPr>
            <w:tcW w:type="right"/>
            <w:shd w:val="clear" w:color="auto" w:fill="8EB4E0"/>
          </w:tcPr>
          <w:p>
            <w:pPr>
              <w:jc w:val="left"/>
            </w:pPr>
            <w:r>
              <w:rPr>
                <w:b w:val="true"/>
                <w:sz w:val="22"/>
              </w:rPr>
              <w:t>DESCRIPTION</w:t>
            </w:r>
          </w:p>
        </w:tc>
        <w:tc>
          <w:tcPr>
            <w:tcW w:type="right"/>
            <w:shd w:val="clear" w:color="auto" w:fill="8EB4E0"/>
          </w:tcPr>
          <w:p>
            <w:pPr>
              <w:jc w:val="left"/>
            </w:pPr>
            <w:r>
              <w:rPr>
                <w:b w:val="true"/>
                <w:sz w:val="22"/>
              </w:rPr>
              <w:t>STATUS</w:t>
            </w:r>
          </w:p>
        </w:tc>
        <w:tc>
          <w:tcPr>
            <w:tcW w:type="right"/>
            <w:shd w:val="clear" w:color="auto" w:fill="8EB4E0"/>
          </w:tcPr>
          <w:p>
            <w:pPr>
              <w:jc w:val="left"/>
            </w:pPr>
            <w:r>
              <w:rPr>
                <w:b w:val="true"/>
                <w:sz w:val="22"/>
              </w:rPr>
              <w:t>NOTE</w:t>
            </w:r>
          </w:p>
        </w:tc>
      </w:tr>
      <w:tr>
        <w:trPr>
          <w:cantSplit w:val="true"/>
        </w:trPr>
        <w:tc>
          <w:tcPr>
            <w:tcW w:w="2160" w:type="dxa"/>
            <w:noWrap w:val="false"/>
          </w:tcPr>
          <w:p>
            <w:hyperlink r:id="rId13">
              <w:r>
                <w:rPr>
                  <w:rStyle w:val="Hyperlink"/>
                </w:rPr>
                <w:t xml:space="preserve">HF 613</w:t>
              </w:r>
            </w:hyperlink>
          </w:p>
        </w:tc>
        <w:tc>
          <w:tcPr>
            <w:tcW w:w="3600" w:type="dxa"/>
            <w:noWrap w:val="false"/>
          </w:tcPr>
          <w:p>
            <w:r>
              <w:rPr>
                <w:sz w:val="20"/>
              </w:rPr>
              <w:t>A bill for an act relating to public assistance program integrity, making appropriations, and including effective date provisions.(Formerly HF 3.)</w:t>
            </w:r>
          </w:p>
        </w:tc>
        <w:tc>
          <w:tcPr>
            <w:tcW w:w="4320" w:type="dxa"/>
            <w:noWrap w:val="false"/>
          </w:tcPr>
          <w:p>
            <w:r>
              <w:rPr>
                <w:sz w:val="20"/>
              </w:rPr>
              <w:t>Subcommittee recommends passage. Vote Total: 3-2. (3/28/23)</w:t>
            </w:r>
          </w:p>
        </w:tc>
        <w:tc>
          <w:tcPr>
            <w:tcW w:w="4320" w:type="dxa"/>
            <w:noWrap w:val="false"/>
          </w:tcPr>
          <w:p>
            <w:pPr>
              <w:spacing w:before="0" w:after="0"/>
            </w:pPr>
            <w:r>
              <w:t/>
            </w:r>
          </w:p>
          <w:p>
            <w:pPr>
              <w:spacing w:before="0" w:after="0"/>
            </w:pPr>
            <w:r>
              <w:t>On Tuesday (3/28) House members met to discuss the two versions of this bill, HF 613 and SF 494. Advocates largely spoke in opposition to the bill, but members advanced it with the intention of taking bits from both versions to create a final bill. </w:t>
            </w:r>
          </w:p>
          <w:p>
            <w:pPr>
              <w:spacing w:before="0" w:after="0"/>
            </w:pPr>
            <w:r>
              <w:t/>
            </w:r>
          </w:p>
        </w:tc>
      </w:tr>
      <w:tr>
        <w:trPr>
          <w:cantSplit w:val="true"/>
        </w:trPr>
        <w:tc>
          <w:tcPr>
            <w:tcW w:w="2160" w:type="dxa"/>
            <w:noWrap w:val="false"/>
          </w:tcPr>
          <w:p>
            <w:hyperlink r:id="rId14">
              <w:r>
                <w:rPr>
                  <w:rStyle w:val="Hyperlink"/>
                </w:rPr>
                <w:t xml:space="preserve">HSB 121</w:t>
              </w:r>
            </w:hyperlink>
          </w:p>
        </w:tc>
        <w:tc>
          <w:tcPr>
            <w:tcW w:w="3600" w:type="dxa"/>
            <w:noWrap w:val="false"/>
          </w:tcPr>
          <w:p>
            <w:r>
              <w:rPr>
                <w:sz w:val="20"/>
              </w:rPr>
              <w:t>A bill for an act relating to the insurance premium tax rates on the gross amount of premiums received by an insurance company.</w:t>
            </w:r>
          </w:p>
        </w:tc>
        <w:tc>
          <w:tcPr>
            <w:tcW w:w="4320" w:type="dxa"/>
            <w:noWrap w:val="false"/>
          </w:tcPr>
          <w:p>
            <w:r>
              <w:rPr>
                <w:sz w:val="20"/>
              </w:rPr>
              <w:t>Tabled until future meeting. Vote Total: 2-0. (2/7/23)</w:t>
            </w:r>
          </w:p>
        </w:tc>
        <w:tc>
          <w:tcPr>
            <w:tcW w:w="4320" w:type="dxa"/>
            <w:noWrap w:val="false"/>
          </w:tcPr>
          <w:p>
            <w:pPr>
              <w:spacing w:before="0" w:after="0"/>
            </w:pPr>
            <w:r>
              <w:t/>
            </w:r>
          </w:p>
        </w:tc>
      </w:tr>
      <w:tr>
        <w:trPr>
          <w:cantSplit w:val="true"/>
        </w:trPr>
        <w:tc>
          <w:tcPr>
            <w:tcW w:w="2160" w:type="dxa"/>
            <w:noWrap w:val="false"/>
          </w:tcPr>
          <w:p>
            <w:hyperlink r:id="rId15">
              <w:r>
                <w:rPr>
                  <w:rStyle w:val="Hyperlink"/>
                </w:rPr>
                <w:t xml:space="preserve">HSB 130</w:t>
              </w:r>
            </w:hyperlink>
          </w:p>
        </w:tc>
        <w:tc>
          <w:tcPr>
            <w:tcW w:w="3600" w:type="dxa"/>
            <w:noWrap w:val="false"/>
          </w:tcPr>
          <w:p>
            <w:r>
              <w:rPr>
                <w:sz w:val="20"/>
              </w:rPr>
              <w:t>A bill for an act relating to prior authorization exemptions for certain health care providers for specific health care services.</w:t>
            </w:r>
          </w:p>
        </w:tc>
        <w:tc>
          <w:tcPr>
            <w:tcW w:w="4320" w:type="dxa"/>
            <w:noWrap w:val="false"/>
          </w:tcPr>
          <w:p>
            <w:r>
              <w:rPr>
                <w:sz w:val="20"/>
              </w:rPr>
              <w:t>Subcommittee recommends passage. Vote Total: 2-1. (2/7/23)</w:t>
            </w:r>
          </w:p>
        </w:tc>
        <w:tc>
          <w:tcPr>
            <w:tcW w:w="4320" w:type="dxa"/>
            <w:noWrap w:val="false"/>
          </w:tcPr>
          <w:p>
            <w:pPr>
              <w:spacing w:before="0" w:after="0"/>
            </w:pPr>
            <w:r>
              <w:t/>
            </w:r>
          </w:p>
          <w:p>
            <w:pPr>
              <w:spacing w:before="0" w:after="0"/>
            </w:pPr>
            <w:r>
              <w:t>Despite many arguments from the insurance industry hoping to dissuade lawmakers, subcommittee members advanced the bill. Those opposed to the legislation stated prior authorization is just as burdensome to insurers as it is for physicians, and prior auth is a necessary tool to ensure patients aren't receiving unnecessary, duplicative services. </w:t>
            </w:r>
          </w:p>
          <w:p>
            <w:pPr>
              <w:spacing w:before="0" w:after="0"/>
            </w:pPr>
            <w:r>
              <w:t/>
            </w:r>
          </w:p>
        </w:tc>
      </w:tr>
      <w:tr>
        <w:trPr>
          <w:cantSplit w:val="true"/>
        </w:trPr>
        <w:tc>
          <w:tcPr>
            <w:tcW w:w="2160" w:type="dxa"/>
            <w:noWrap w:val="false"/>
          </w:tcPr>
          <w:p>
            <w:hyperlink r:id="rId16">
              <w:r>
                <w:rPr>
                  <w:rStyle w:val="Hyperlink"/>
                </w:rPr>
                <w:t xml:space="preserve">SF 172</w:t>
              </w:r>
            </w:hyperlink>
          </w:p>
        </w:tc>
        <w:tc>
          <w:tcPr>
            <w:tcW w:w="3600" w:type="dxa"/>
            <w:noWrap w:val="false"/>
          </w:tcPr>
          <w:p>
            <w:r>
              <w:rPr>
                <w:sz w:val="20"/>
              </w:rPr>
              <w:t>A bill for an act relating to a pilot program to allow Medicaid members to participate in direct health care agreements.</w:t>
            </w:r>
          </w:p>
        </w:tc>
        <w:tc>
          <w:tcPr>
            <w:tcW w:w="4320" w:type="dxa"/>
            <w:noWrap w:val="false"/>
          </w:tcPr>
          <w:p>
            <w:r>
              <w:rPr>
                <w:sz w:val="20"/>
              </w:rPr>
              <w:t>Subcommittee recommends passage. []. (2/20/23)</w:t>
            </w:r>
          </w:p>
        </w:tc>
        <w:tc>
          <w:tcPr>
            <w:tcW w:w="4320" w:type="dxa"/>
            <w:noWrap w:val="false"/>
          </w:tcPr>
          <w:p>
            <w:pPr>
              <w:spacing w:before="0" w:after="0"/>
            </w:pPr>
            <w:r>
              <w:t/>
            </w:r>
          </w:p>
          <w:p>
            <w:pPr>
              <w:spacing w:before="0" w:after="0"/>
            </w:pPr>
            <w:r>
              <w:t>Sens. Garrett and Costello are very interested in how to make this bill work and suggested amending the bill to try out with state employees. Sen. Trone-Garriott had many questions and at the end of the meeting suggested a “study” model instead and declined to sign onto the bill. AmeriGroup and Iowa Total Care spoke against the bill and said this pilot program would likely confuse Medicaid members more than anything especially since many are up for re-enrollment soon. They also said this would also hinder coordinated care across providers.</w:t>
            </w:r>
          </w:p>
          <w:p>
            <w:pPr>
              <w:spacing w:before="0" w:after="0"/>
            </w:pPr>
            <w:r>
              <w:t/>
            </w:r>
          </w:p>
        </w:tc>
      </w:tr>
      <w:tr>
        <w:trPr>
          <w:cantSplit w:val="true"/>
        </w:trPr>
        <w:tc>
          <w:tcPr>
            <w:tcW w:w="2160" w:type="dxa"/>
            <w:noWrap w:val="false"/>
          </w:tcPr>
          <w:p>
            <w:hyperlink r:id="rId17">
              <w:r>
                <w:rPr>
                  <w:rStyle w:val="Hyperlink"/>
                </w:rPr>
                <w:t xml:space="preserve">SF 240</w:t>
              </w:r>
            </w:hyperlink>
          </w:p>
          <w:p>
            <w:hyperlink r:id="rId18">
              <w:r>
                <w:rPr>
                  <w:rStyle w:val="Hyperlink"/>
                </w:rPr>
                <w:t xml:space="preserve">CO:HF 20</w:t>
              </w:r>
            </w:hyperlink>
          </w:p>
        </w:tc>
        <w:tc>
          <w:tcPr>
            <w:tcW w:w="3600" w:type="dxa"/>
            <w:noWrap w:val="false"/>
          </w:tcPr>
          <w:p>
            <w:r>
              <w:rPr>
                <w:sz w:val="20"/>
              </w:rPr>
              <w:t>A bill for an act relating to reimbursement rates for state-licensed providers of certain substance use disorder treatment services.</w:t>
            </w:r>
          </w:p>
        </w:tc>
        <w:tc>
          <w:tcPr>
            <w:tcW w:w="4320" w:type="dxa"/>
            <w:noWrap w:val="false"/>
          </w:tcPr>
          <w:p>
            <w:r>
              <w:rPr>
                <w:sz w:val="20"/>
              </w:rPr>
              <w:t>Subcommittee: Costello, Donahue, and Edler. (2/14/23)</w:t>
            </w:r>
          </w:p>
        </w:tc>
        <w:tc>
          <w:tcPr>
            <w:tcW w:w="4320" w:type="dxa"/>
            <w:noWrap w:val="false"/>
          </w:tcPr>
          <w:p>
            <w:pPr>
              <w:spacing w:before="0" w:after="0"/>
            </w:pPr>
            <w:r>
              <w:t/>
            </w:r>
          </w:p>
        </w:tc>
      </w:tr>
      <w:tr>
        <w:trPr>
          <w:cantSplit w:val="true"/>
        </w:trPr>
        <w:tc>
          <w:tcPr>
            <w:tcW w:w="2160" w:type="dxa"/>
            <w:noWrap w:val="false"/>
          </w:tcPr>
          <w:p>
            <w:hyperlink r:id="rId19">
              <w:r>
                <w:rPr>
                  <w:rStyle w:val="Hyperlink"/>
                </w:rPr>
                <w:t xml:space="preserve">SSB 1100</w:t>
              </w:r>
            </w:hyperlink>
          </w:p>
        </w:tc>
        <w:tc>
          <w:tcPr>
            <w:tcW w:w="3600" w:type="dxa"/>
            <w:noWrap w:val="false"/>
          </w:tcPr>
          <w:p>
            <w:r>
              <w:rPr>
                <w:sz w:val="20"/>
              </w:rPr>
              <w:t>A bill for an act relating to prior authorization exemptions for certain health care providers for specific health care services.</w:t>
            </w:r>
          </w:p>
        </w:tc>
        <w:tc>
          <w:tcPr>
            <w:tcW w:w="4320" w:type="dxa"/>
            <w:noWrap w:val="false"/>
          </w:tcPr>
          <w:p>
            <w:r>
              <w:rPr>
                <w:sz w:val="20"/>
              </w:rPr>
              <w:t>Subcommittee Meeting: 02/08/2023 4:00PM Room 315. (2/8/23)</w:t>
            </w:r>
          </w:p>
        </w:tc>
        <w:tc>
          <w:tcPr>
            <w:tcW w:w="4320" w:type="dxa"/>
            <w:noWrap w:val="false"/>
          </w:tcPr>
          <w:p>
            <w:pPr>
              <w:spacing w:before="0" w:after="0"/>
            </w:pPr>
            <w:r>
              <w:t/>
            </w:r>
          </w:p>
          <w:p>
            <w:pPr>
              <w:spacing w:before="0" w:after="0"/>
            </w:pPr>
            <w:r>
              <w:t>Like the House’s subcommittee, insurance lobbyists lined up to speak against this bill. Representation from Wellmark suggested that if lawmakers are set on continuing this discussion, they should change the bill to direct health carriers to implement a prior authorization gold card system. He said this shouldn’t be a one-size fits all approach and the carrier should have the ability to craft its own gold card program. “Eliminating prior auth isn’t in the patient’s interest… this is a safety issue.”</w:t>
            </w:r>
          </w:p>
          <w:p>
            <w:pPr>
              <w:spacing w:before="0" w:after="0"/>
            </w:pPr>
            <w:r>
              <w:t/>
            </w:r>
          </w:p>
        </w:tc>
      </w:tr>
    </w:tbl>
    <w:sectPr>
      <w:headerReference w:type="default" r:id="rId3"/>
      <w:footerReference w:type="default" r:id="rId4"/>
      <w:type w:val="nextPage"/>
      <w:pgSz w:w="15840" w:h="12240" w:orient="landscape"/>
      <w:pgMar w:top="1221" w:right="720" w:bottom="720" w:left="720" w:header="432" w:footer="288" w:gutter="0"/>
      <w:pgNumType w:fmt="decimal"/>
      <w:formProt w:val="false"/>
      <w:textDirection w:val="lrTb"/>
      <w:docGrid w:type="default" w:linePitch="100" w:charSpace="0"/>
    </w:sectPr>
  </w:body>
</w:document>
</file>

<file path=word/fontTable.xml><?xml version="1.0" encoding="utf-8"?>
<w:font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Liberation Sans">
    <w:altName w:val="Arial"/>
    <w:charset w:val="01"/>
    <w:family w:val="roman"/>
    <w:pitch w:val="variable"/>
  </w:font>
  <w:font w:name="Calibri">
    <w:charset w:val="01"/>
    <w:family w:val="roman"/>
    <w:pitch w:val="variable"/>
  </w:font>
  <w:font w:name="Cambria">
    <w:charset w:val="01"/>
    <w:family w:val="roman"/>
    <w:pitch w:val="variable"/>
  </w:font>
</w:fonts>
</file>

<file path=word/footer1.xml><?xml version="1.0" encoding="utf-8"?>
<w:ftr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p>
    <w:pPr>
      <w:pStyle w:val="Footer"/>
      <w:spacing w:before="0" w:after="120"/>
      <w:jc w:val="center"/>
      <w:rPr/>
    </w:pPr>
    <w:r>
      <w:rPr>
        <w:rFonts w:ascii="Cambria" w:hAnsi="Cambria"/>
        <w:lang w:val="en-US"/>
      </w:rPr>
      <w:t xml:space="preserve">PAGE </w:t>
    </w:r>
    <w:r>
      <w:rPr/>
      <w:fldChar w:fldCharType="begin"/>
    </w:r>
    <w:r>
      <w:rPr/>
      <w:instrText> PAGE </w:instrText>
    </w:r>
    <w:r>
      <w:rPr/>
      <w:fldChar w:fldCharType="separate"/>
    </w:r>
    <w:r>
      <w:rPr/>
      <w:t>1</w:t>
    </w:r>
    <w:r>
      <w:rPr/>
      <w:fldChar w:fldCharType="end"/>
    </w:r>
    <w:r>
      <w:rPr>
        <w:rFonts w:ascii="Cambria" w:hAnsi="Cambria"/>
        <w:sz w:val="18"/>
        <w:szCs w:val="18"/>
        <w:lang w:val="en-US"/>
      </w:rPr>
      <w:t xml:space="preserve"> - </w:t>
    </w:r>
    <w:r>
      <w:rPr/>
      <w:fldChar w:fldCharType="begin"/>
    </w:r>
    <w:r>
      <w:rPr/>
      <w:instrText> DATE \@"M\/d\/yy" </w:instrText>
    </w:r>
    <w:r>
      <w:rPr/>
      <w:fldChar w:fldCharType="separate"/>
    </w:r>
    <w:r>
      <w:rPr/>
      <w:t>9/18/23</w:t>
    </w:r>
    <w:r>
      <w:rPr/>
      <w:fldChar w:fldCharType="end"/>
    </w:r>
  </w:p>
</w:ftr>
</file>

<file path=word/header1.xml><?xml version="1.0" encoding="utf-8"?>
<w:hdr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p>
    <w:pPr>
      <w:pStyle w:val="Header"/>
      <w:rPr/>
    </w:pPr>
    <w:r>
      <w:rPr/>
      <w:t xml:space="preserve">                                                           </w:t>
    </w:r>
    <w:r>
      <w:rPr>
        <w:b/>
        <w:bCs/>
        <w:sz w:val="44"/>
        <w:szCs w:val="44"/>
      </w:rPr>
      <w:t>CareSource 2023 Bill Tracker</w:t>
    </w:r>
  </w:p>
</w:hdr>
</file>

<file path=word/settings.xml><?xml version="1.0" encoding="utf-8"?>
<w:setting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zoom w:percent="5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docDefaults>
    <w:rPrDefault>
      <w:rPr>
        <w:rFonts w:ascii="Times New Roman" w:hAnsi="Times New Roman" w:eastAsia="Arial Unicode MS" w:cs="Times New Roman"/>
        <w:lang w:val="en-US" w:eastAsia="zh-CN" w:bidi="hi-IN"/>
      </w:rPr>
    </w:rPrDefault>
    <w:pPrDefault>
      <w:pPr>
        <w:suppressAutoHyphens w:val="true"/>
      </w:pPr>
    </w:pPrDefault>
  </w:docDefaults>
  <w:style w:type="paragraph" w:styleId="Normal" w:default="true">
    <w:name w:val="Normal"/>
    <w:qFormat/>
    <w:pPr>
      <w:keepNext w:val="false"/>
      <w:keepLines w:val="false"/>
      <w:pageBreakBefore w:val="false"/>
      <w:widowControl/>
      <w:shd w:val="clear" w:color="auto" w:fill="auto"/>
      <w:suppressAutoHyphens w:val="false"/>
      <w:bidi w:val="false"/>
      <w:spacing w:before="0" w:beforeAutospacing="false" w:after="0" w:afterAutospacing="false" w:line="240" w:lineRule="auto"/>
      <w:ind w:left="0" w:right="0" w:hanging="0"/>
      <w:jc w:val="left"/>
    </w:pPr>
    <w:rPr>
      <w:rFonts w:ascii="Gill Sans MT" w:hAnsi="Times New Roman" w:eastAsia="Arial Unicode MS" w:cs="Times New Roman"/>
      <w:b w:val="false"/>
      <w:bCs w:val="false"/>
      <w:i w:val="false"/>
      <w:iCs w:val="false"/>
      <w:caps w:val="false"/>
      <w:smallCaps w:val="false"/>
      <w:strike w:val="false"/>
      <w:dstrike w:val="false"/>
      <w:outline w:val="false"/>
      <w:emboss w:val="false"/>
      <w:imprint w:val="false"/>
      <w:vanish w:val="false"/>
      <w:color w:val="auto"/>
      <w:spacing w:val="0"/>
      <w:w w:val="100"/>
      <w:kern w:val="0"/>
      <w:position w:val="0"/>
      <w:sz w:val="24"/>
      <w:szCs w:val="24"/>
      <w:u w:val="none" w:color="FFFFFF"/>
      <w:vertAlign w:val="baseline"/>
      <w:lang w:val="en-US" w:eastAsia="en-US" w:bidi="ar-SA"/>
    </w:rPr>
  </w:style>
  <w:style w:type="character" w:styleId="DefaultParagraphFont" w:default="true">
    <w:name w:val="Default Paragraph Font"/>
    <w:qFormat/>
    <w:rPr/>
  </w:style>
  <w:style w:type="character" w:styleId="InternetLink">
    <w:name w:val="Hyperlink"/>
    <w:rPr>
      <w:rFonts w:ascii="Gill Sans MT"/>
      <w:b w:val="true"/>
      <w:color w:val="000000"/>
      <w:sz w:val="22"/>
      <w:u w:val="single" w:color="000000"/>
    </w:rPr>
  </w:style>
  <w:style w:type="paragraph" w:styleId="Heading">
    <w:name w:val="Heading"/>
    <w:basedOn w:val="Normal"/>
    <w:next w:val="TextBody"/>
    <w:qFormat/>
    <w:pPr>
      <w:keepNext w:val="true"/>
      <w:spacing w:before="240" w:after="120"/>
    </w:pPr>
    <w:rPr>
      <w:rFonts w:ascii="Liberation Sans" w:hAnsi="Liberation Sans" w:eastAsia="PingFang SC" w:cs="Arial Unicode MS"/>
      <w:sz w:val="28"/>
      <w:szCs w:val="28"/>
    </w:rPr>
  </w:style>
  <w:style w:type="paragraph" w:styleId="TextBody">
    <w:name w:val="Body Text"/>
    <w:basedOn w:val="Normal"/>
    <w:pPr>
      <w:spacing w:before="0" w:after="140" w:line="276" w:lineRule="auto"/>
    </w:pPr>
    <w:rPr/>
  </w:style>
  <w:style w:type="paragraph" w:styleId="List">
    <w:name w:val="List"/>
    <w:basedOn w:val="TextBody"/>
    <w:pPr/>
    <w:rPr>
      <w:rFonts w:cs="Arial Unicode MS"/>
    </w:rPr>
  </w:style>
  <w:style w:type="paragraph" w:styleId="Caption">
    <w:name w:val="Caption"/>
    <w:basedOn w:val="Normal"/>
    <w:qFormat/>
    <w:pPr>
      <w:suppressLineNumbers/>
      <w:spacing w:before="120" w:after="120"/>
    </w:pPr>
    <w:rPr>
      <w:rFonts w:cs="Arial Unicode MS"/>
      <w:i/>
      <w:iCs/>
      <w:sz w:val="24"/>
      <w:szCs w:val="24"/>
    </w:rPr>
  </w:style>
  <w:style w:type="paragraph" w:styleId="Index">
    <w:name w:val="Index"/>
    <w:basedOn w:val="Normal"/>
    <w:qFormat/>
    <w:pPr>
      <w:suppressLineNumbers/>
    </w:pPr>
    <w:rPr>
      <w:rFonts w:cs="Arial Unicode MS"/>
      <w:lang w:val="zxx" w:eastAsia="zxx" w:bidi="zxx"/>
    </w:rPr>
  </w:style>
  <w:style w:type="paragraph" w:styleId="Body">
    <w:name w:val="Body"/>
    <w:qFormat/>
    <w:pPr>
      <w:keepNext w:val="false"/>
      <w:keepLines w:val="false"/>
      <w:pageBreakBefore w:val="false"/>
      <w:widowControl/>
      <w:shd w:val="clear" w:color="auto" w:fill="auto"/>
      <w:suppressAutoHyphens w:val="true"/>
      <w:bidi w:val="false"/>
      <w:spacing w:before="0" w:beforeAutospacing="false" w:after="120" w:afterAutospacing="false" w:line="276" w:lineRule="auto"/>
      <w:ind w:left="0" w:right="0" w:hanging="0"/>
      <w:jc w:val="left"/>
    </w:pPr>
    <w:rPr>
      <w:rFonts w:ascii="Calibri" w:hAnsi="Calibri" w:eastAsia="Arial Unicode MS" w:cs="Arial Unicode MS"/>
      <w:b w:val="false"/>
      <w:bCs w:val="false"/>
      <w:i w:val="false"/>
      <w:iCs w:val="false"/>
      <w:caps w:val="false"/>
      <w:smallCaps w:val="false"/>
      <w:strike w:val="false"/>
      <w:dstrike w:val="false"/>
      <w:outline w:val="false"/>
      <w:emboss w:val="false"/>
      <w:imprint w:val="false"/>
      <w:vanish w:val="false"/>
      <w:color w:val="00000A"/>
      <w:spacing w:val="0"/>
      <w:w w:val="100"/>
      <w:kern w:val="0"/>
      <w:position w:val="0"/>
      <w:sz w:val="22"/>
      <w:szCs w:val="22"/>
      <w:u w:val="none" w:color="00000A"/>
      <w:shd w:val="clear" w:fill="auto"/>
      <w:vertAlign w:val="baseline"/>
      <w:lang w:val="de-DE" w:eastAsia="zh-CN" w:bidi="hi-IN"/>
    </w:rPr>
  </w:style>
  <w:style w:type="paragraph" w:styleId="HeaderandFooter">
    <w:name w:val="Header and Footer"/>
    <w:basedOn w:val="Normal"/>
    <w:qFormat/>
    <w:pPr/>
    <w:rPr/>
  </w:style>
  <w:style w:type="paragraph" w:styleId="Footer">
    <w:name w:val="Footer"/>
    <w:pPr>
      <w:keepNext w:val="false"/>
      <w:keepLines w:val="false"/>
      <w:pageBreakBefore w:val="false"/>
      <w:widowControl/>
      <w:shd w:val="clear" w:color="auto" w:fill="auto"/>
      <w:tabs>
        <w:tab w:val="clear" w:pos="720"/>
        <w:tab w:val="center" w:leader="none" w:pos="4680"/>
        <w:tab w:val="right" w:leader="none" w:pos="9360"/>
      </w:tabs>
      <w:suppressAutoHyphens w:val="true"/>
      <w:bidi w:val="false"/>
      <w:spacing w:before="0" w:beforeAutospacing="false" w:after="0" w:afterAutospacing="false" w:line="240" w:lineRule="auto"/>
      <w:ind w:left="0" w:right="0" w:hanging="0"/>
      <w:jc w:val="left"/>
    </w:pPr>
    <w:rPr>
      <w:rFonts w:ascii="Calibri" w:hAnsi="Calibri" w:eastAsia="Arial Unicode MS" w:cs="Arial Unicode MS"/>
      <w:b w:val="false"/>
      <w:bCs w:val="false"/>
      <w:i w:val="false"/>
      <w:iCs w:val="false"/>
      <w:caps w:val="false"/>
      <w:smallCaps w:val="false"/>
      <w:strike w:val="false"/>
      <w:dstrike w:val="false"/>
      <w:outline w:val="false"/>
      <w:emboss w:val="false"/>
      <w:imprint w:val="false"/>
      <w:vanish w:val="false"/>
      <w:color w:val="00000A"/>
      <w:spacing w:val="0"/>
      <w:w w:val="100"/>
      <w:kern w:val="0"/>
      <w:position w:val="0"/>
      <w:sz w:val="22"/>
      <w:szCs w:val="22"/>
      <w:u w:val="none" w:color="00000A"/>
      <w:shd w:val="clear" w:fill="auto"/>
      <w:vertAlign w:val="baseline"/>
      <w:lang w:val="en-US" w:eastAsia="zh-CN" w:bidi="hi-IN"/>
    </w:rPr>
  </w:style>
  <w:style w:type="paragraph" w:styleId="Header">
    <w:name w:val="Header"/>
    <w:basedOn w:val="HeaderandFooter"/>
    <w:pPr/>
    <w:rPr/>
  </w:style>
  <w:style w:type="numbering" w:styleId="NoList" w:default="true">
    <w:name w:val="No List"/>
    <w:qFormat/>
  </w:style>
  <w:style w:type="table" w:styleId="Table Normal" w:default="true">
    <w:name w:val="Table Normal"/>
    <w:tblStylePr w:type="firstRow">
      <w:tblPr/>
    </w:tblStylePr>
    <w:tblStylePr w:type="lastRow">
      <w:tblPr/>
    </w:tblStylePr>
    <w:tblStylePr w:type="firstCol">
      <w:tblPr/>
    </w:tblStylePr>
    <w:tblStylePr w:type="lastCol">
      <w:tblPr/>
    </w:tblStylePr>
    <w:tblStylePr w:type="band1Vert">
      <w:tblPr/>
    </w:tblStylePr>
    <w:tblStylePr w:type="band2Vert">
      <w:tblPr/>
    </w:tblStylePr>
    <w:tblStylePr w:type="band1Horz">
      <w:tblPr/>
    </w:tblStylePr>
    <w:tblStylePr w:type="band2Horz">
      <w:tblPr/>
    </w:tblStylePr>
    <w:tblStylePr w:type="neCell">
      <w:tblPr/>
    </w:tblStylePr>
    <w:tblStylePr w:type="nwCell">
      <w:tblPr/>
    </w:tblStylePr>
    <w:tblStylePr w:type="seCell">
      <w:tblPr/>
    </w:tblStylePr>
    <w:tblStylePr w:type="swCell">
      <w:tblPr/>
    </w:tblStylePr>
  </w:style>
</w:styles>
</file>

<file path=word/_rels/document.xml.rels><?xml version="1.0" encoding="UTF-8" standalone="yes"?><Relationships xmlns="http://schemas.openxmlformats.org/package/2006/relationships"><Relationship Target="styles.xml" Type="http://schemas.openxmlformats.org/officeDocument/2006/relationships/styles" Id="rId1"></Relationship><Relationship Target="media/image1.jpeg" Type="http://schemas.openxmlformats.org/officeDocument/2006/relationships/image" Id="rId2"></Relationship><Relationship Target="header1.xml" Type="http://schemas.openxmlformats.org/officeDocument/2006/relationships/header" Id="rId3"></Relationship><Relationship Target="footer1.xml" Type="http://schemas.openxmlformats.org/officeDocument/2006/relationships/footer" Id="rId4"></Relationship><Relationship Target="fontTable.xml" Type="http://schemas.openxmlformats.org/officeDocument/2006/relationships/fontTable" Id="rId5"></Relationship><Relationship Target="settings.xml" Type="http://schemas.openxmlformats.org/officeDocument/2006/relationships/settings" Id="rId6"></Relationship><Relationship Target="theme/theme1.xml" Type="http://schemas.openxmlformats.org/officeDocument/2006/relationships/theme" Id="rId7"></Relationship><Relationship TargetMode="External" Target="https://www.legis.iowa.gov/legislation/BillBook?ga=90&amp;ba=HF423" Type="http://schemas.openxmlformats.org/officeDocument/2006/relationships/hyperlink" Id="rId8"/><Relationship TargetMode="External" Target="https://www.legis.iowa.gov/legislation/BillBook?ga=90&amp;ba=SF419" Type="http://schemas.openxmlformats.org/officeDocument/2006/relationships/hyperlink" Id="rId9"/><Relationship TargetMode="External" Target="https://www.legis.iowa.gov/legislation/BillBook?ga=90&amp;ba=HF685" Type="http://schemas.openxmlformats.org/officeDocument/2006/relationships/hyperlink" Id="rId10"/><Relationship TargetMode="External" Target="https://www.legis.iowa.gov/legislation/BillBook?ga=90&amp;ba=HF708" Type="http://schemas.openxmlformats.org/officeDocument/2006/relationships/hyperlink" Id="rId11"/><Relationship TargetMode="External" Target="https://www.legis.iowa.gov/legislation/BillBook?ga=90&amp;ba=SF514" Type="http://schemas.openxmlformats.org/officeDocument/2006/relationships/hyperlink" Id="rId12"/><Relationship TargetMode="External" Target="https://www.legis.iowa.gov/legislation/BillBook?ga=90&amp;ba=HF613" Type="http://schemas.openxmlformats.org/officeDocument/2006/relationships/hyperlink" Id="rId13"/><Relationship TargetMode="External" Target="https://www.legis.iowa.gov/legislation/BillBook?ga=90&amp;ba=HSB121" Type="http://schemas.openxmlformats.org/officeDocument/2006/relationships/hyperlink" Id="rId14"/><Relationship TargetMode="External" Target="https://www.legis.iowa.gov/legislation/BillBook?ga=90&amp;ba=HSB130" Type="http://schemas.openxmlformats.org/officeDocument/2006/relationships/hyperlink" Id="rId15"/><Relationship TargetMode="External" Target="https://www.legis.iowa.gov/legislation/BillBook?ga=90&amp;ba=SF172" Type="http://schemas.openxmlformats.org/officeDocument/2006/relationships/hyperlink" Id="rId16"/><Relationship TargetMode="External" Target="https://www.legis.iowa.gov/legislation/BillBook?ga=90&amp;ba=SF240" Type="http://schemas.openxmlformats.org/officeDocument/2006/relationships/hyperlink" Id="rId17"/><Relationship TargetMode="External" Target="https://www.legis.iowa.gov/legislation/BillBook?ga=90&amp;ba=HF20" Type="http://schemas.openxmlformats.org/officeDocument/2006/relationships/hyperlink" Id="rId18"/><Relationship TargetMode="External" Target="https://www.legis.iowa.gov/legislation/BillBook?ga=90&amp;ba=SSB1100" Type="http://schemas.openxmlformats.org/officeDocument/2006/relationships/hyperlink" Id="rId19"/></Relationships>
</file>

<file path=word/theme/theme1.xml><?xml version="1.0" encoding="utf-8"?>
<a:theme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tint val="100000"/>
                <a:shade val="100000"/>
                <a:satMod val="129999"/>
              </a:schemeClr>
            </a:gs>
            <a:gs pos="100000">
              <a:schemeClr val="phClr">
                <a:tint val="50000"/>
                <a:shade val="100000"/>
                <a:satMod val="350000"/>
              </a:schemeClr>
            </a:gs>
          </a:gsLst>
          <a:lin ang="16200000" scaled="false"/>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sx="100000" sy="100000" kx="0" ky="0" algn="b" rotWithShape="false">
              <a:srgbClr val="000000">
                <a:alpha val="35000"/>
              </a:srgbClr>
            </a:outerShdw>
          </a:effectLst>
        </a:effectStyle>
        <a:effectStyle>
          <a:effectLst>
            <a:outerShdw blurRad="38100" dist="23000" dir="5400000" sx="100000" sy="100000" kx="0" ky="0" algn="b" rotWithShape="false">
              <a:srgbClr val="000000">
                <a:alpha val="35000"/>
              </a:srgbClr>
            </a:outerShdw>
          </a:effectLst>
        </a:effectStyle>
        <a:effectStyle>
          <a:effectLst>
            <a:outerShdw blurRad="38100" dist="20000" dir="5400000" sx="100000" sy="100000" kx="0" ky="0" algn="b" rotWithShape="false">
              <a:srgbClr val="000000">
                <a:alpha val="38000"/>
              </a:srgbClr>
            </a:outerShdw>
          </a:effectLst>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sx="100000" sy="100000" kx="0" ky="0" algn="b" rotWithShape="false">
            <a:srgbClr val="000000">
              <a:alpha val="35000"/>
            </a:srgbClr>
          </a:outerShdw>
        </a:effectLst>
        <a:sp3d/>
      </a:spPr>
      <a:bodyPr rot="0" spcFirstLastPara="true" vertOverflow="overflow" horzOverflow="overflow" vert="horz" wrap="square" lIns="45719" tIns="45719" rIns="45719" bIns="45719" numCol="1" spcCol="38100" rtlCol="false" anchor="ctr" upright="false">
        <a:spAutoFit/>
      </a:bodyPr>
      <a:lstStyle>
        <a:defPPr marL="0" marR="0" indent="0" algn="l" defTabSz="914400" rtl="false" fontAlgn="auto" latinLnBrk="fals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latin typeface="Calibri"/>
            <a:ea typeface="Calibri"/>
            <a:cs typeface="Calibri"/>
            <a:sym typeface="Calibri"/>
          </a:defRPr>
        </a:defPPr>
        <a:lvl1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1pPr>
        <a:lvl2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2pPr>
        <a:lvl3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3pPr>
        <a:lvl4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4pPr>
        <a:lvl5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5pPr>
        <a:lvl6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6pPr>
        <a:lvl7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7pPr>
        <a:lvl8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8pPr>
        <a:lvl9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blurRad="38100" dist="20000" dir="5400000" sx="100000" sy="100000" kx="0" ky="0" algn="b" rotWithShape="false">
            <a:srgbClr val="000000">
              <a:alpha val="38000"/>
            </a:srgbClr>
          </a:outerShdw>
        </a:effectLst>
        <a:sp3d/>
      </a:spPr>
      <a:bodyPr rot="0" spcFirstLastPara="true" vertOverflow="overflow" horzOverflow="overflow" vert="horz" wrap="square" lIns="91439" tIns="45719" rIns="91439" bIns="45719" numCol="1" spcCol="38100" rtlCol="false" anchor="t" upright="false">
        <a:noAutofit/>
      </a:bodyPr>
      <a:lstStyle>
        <a:def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defPPr>
        <a:lvl1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1pPr>
        <a:lvl2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2pPr>
        <a:lvl3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3pPr>
        <a:lvl4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4pPr>
        <a:lvl5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5pPr>
        <a:lvl6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6pPr>
        <a:lvl7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7pPr>
        <a:lvl8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8pPr>
        <a:lvl9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true" vertOverflow="overflow" horzOverflow="overflow" vert="horz" wrap="square" lIns="45719" tIns="45719" rIns="45719" bIns="45719" numCol="1" spcCol="38100" rtlCol="false" anchor="t" upright="false">
        <a:spAutoFit/>
      </a:bodyPr>
      <a:lstStyle>
        <a:defPPr marL="0" marR="0" indent="0" algn="l" defTabSz="914400" rtl="false" fontAlgn="auto" latinLnBrk="fals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latin typeface="Calibri"/>
            <a:ea typeface="Calibri"/>
            <a:cs typeface="Calibri"/>
            <a:sym typeface="Calibri"/>
          </a:defRPr>
        </a:defPPr>
        <a:lvl1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1pPr>
        <a:lvl2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2pPr>
        <a:lvl3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3pPr>
        <a:lvl4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4pPr>
        <a:lvl5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5pPr>
        <a:lvl6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6pPr>
        <a:lvl7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7pPr>
        <a:lvl8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8pPr>
        <a:lvl9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9pPr>
      </a:lstStyle>
      <a:style>
        <a:lnRef idx="0"/>
        <a:fillRef idx="0"/>
        <a:effectRef idx="0"/>
        <a:fontRef idx="none"/>
      </a:style>
    </a:txDef>
  </a:objectDefaults>
</a:theme>
</file>

<file path=docProps/app.xml><?xml version="1.0" encoding="utf-8"?>
<properties:Properties xmlns:properties="http://schemas.openxmlformats.org/officeDocument/2006/extended-properties" xmlns:vt="http://schemas.openxmlformats.org/officeDocument/2006/docPropsVTypes">
  <properties:Template/>
  <properties:Pages>1</properties:Pages>
  <properties:Words>14</properties:Words>
  <properties:Characters>51</properties:Characters>
  <properties:Paragraphs>5</properties:Paragraphs>
  <properties:TotalTime>1345</properties:TotalTime>
  <properties:CharactersWithSpaces>119</properties:CharactersWithSpaces>
  <properties:Application>docx4j</properties:Application>
  <properties:AppVersion>2.7</properties:AppVersion>
</properties:Properties>
</file>

<file path=docProps/core.xml><?xml version="1.0" encoding="utf-8"?>
<cp:coreProperties xmlns:cp="http://schemas.openxmlformats.org/package/2006/metadata/core-properties" xmlns:dcterms="http://purl.org/dc/terms/" xmlns:dc="http://purl.org/dc/elements/1.1/">
  <dc:creator/>
  <dc:description/>
  <dc:language>en-US</dc:language>
  <cp:lastModifiedBy>docx4j</cp:lastModifiedBy>
  <dcterms:modified xmlns:xsi="http://www.w3.org/2001/XMLSchema-instance" xsi:type="dcterms:W3CDTF">2023-09-18T10:46:21Z</dcterms:modified>
  <cp:revision>7</cp:revision>
  <dc:subject/>
  <dc:title/>
</cp:coreProperties>
</file>

<file path=docProps/custom.xml><?xml version="1.0" encoding="utf-8"?>
<prop:Properties xmlns:vt="http://schemas.openxmlformats.org/officeDocument/2006/docPropsVTypes" xmlns:prop="http://schemas.openxmlformats.org/officeDocument/2006/custom-properties"/>
</file>