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r>
        <w:rPr>
          <w:sz w:val="24"/>
        </w:rPr>
        <w:t/>
      </w:r>
    </w:p>
    <w:p>
      <w:pPr>
        <w:spacing w:before="0" w:after="0"/>
      </w:pPr>
      <w:r>
        <w:rPr>
          <w:b w:val="true"/>
          <w:sz w:val="48"/>
          <w:u w:val="single"/>
        </w:rPr>
        <w:t>Signed by the Governor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2605</w:t>
              </w:r>
            </w:hyperlink>
          </w:p>
          <w:p>
            <w:hyperlink r:id="rId8">
              <w:r>
                <w:rPr>
                  <w:rStyle w:val="Hyperlink"/>
                  <w:color w:val="0000FF"/>
                </w:rPr>
                <w:t xml:space="preserve">CO:SF 2352</w:t>
              </w:r>
            </w:hyperlink>
          </w:p>
        </w:tc>
        <w:tc>
          <w:tcPr>
            <w:tcW w:w="3600" w:type="dxa"/>
            <w:noWrap w:val="false"/>
          </w:tcPr>
          <w:p>
            <w:r>
              <w:rPr>
                <w:sz w:val="20"/>
              </w:rPr>
              <w:t>A bill for an act providing for the regulation of hemp and hemp products, providing penalties, and making penalties applicable. (Formerly HSB 665.) Effective date: 07/01/2024.</w:t>
            </w:r>
          </w:p>
        </w:tc>
        <w:tc>
          <w:tcPr>
            <w:tcW w:w="4320" w:type="dxa"/>
            <w:noWrap w:val="false"/>
          </w:tcPr>
          <w:p>
            <w:r>
              <w:rPr>
                <w:sz w:val="20"/>
              </w:rPr>
              <w:t>Signed by Governor . (5/17/24)</w:t>
            </w:r>
            <w:br/>
            <w:r>
              <w:rPr>
                <w:sz w:val="20"/>
              </w:rPr>
              <w:t>Passed House , yeas 79, nays 16. (3/12/24)</w:t>
            </w:r>
            <w:br/>
            <w:r>
              <w:rPr>
                <w:sz w:val="20"/>
              </w:rPr>
              <w:t>Passed Senate , yeas 31, nays 18. (4/2/24)</w:t>
            </w:r>
          </w:p>
        </w:tc>
        <w:tc>
          <w:tcPr>
            <w:tcW w:w="4320" w:type="dxa"/>
            <w:noWrap w:val="false"/>
          </w:tcPr>
          <w:p>
            <w:pPr>
              <w:spacing w:before="0" w:after="0"/>
            </w:pPr>
            <w:r>
              <w:t>Oppose/Against</w:t>
            </w:r>
          </w:p>
        </w:tc>
      </w:tr>
    </w:tbl>
    <w:p>
      <w:r>
        <w:rPr>
          <w:sz w:val="24"/>
        </w:rPr>
        <w:t/>
      </w:r>
    </w:p>
    <w:p>
      <w:pPr>
        <w:spacing w:before="0" w:after="0"/>
      </w:pPr>
      <w:r>
        <w:rPr>
          <w:b w:val="true"/>
          <w:sz w:val="48"/>
          <w:u w:val="single"/>
        </w:rPr>
        <w:t>Passed One Chamber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9">
              <w:r>
                <w:rPr>
                  <w:rStyle w:val="Hyperlink"/>
                  <w:color w:val="0000FF"/>
                </w:rPr>
                <w:t xml:space="preserve">HF 2573</w:t>
              </w:r>
            </w:hyperlink>
          </w:p>
        </w:tc>
        <w:tc>
          <w:tcPr>
            <w:tcW w:w="3600" w:type="dxa"/>
            <w:noWrap w:val="false"/>
          </w:tcPr>
          <w:p>
            <w:r>
              <w:rPr>
                <w:sz w:val="20"/>
              </w:rPr>
              <w:t>A bill for an act relating to the use of telemedicine in the issuance of a certification to receive a medical cannabidiol registration card.(Formerly HSB 701.)</w:t>
            </w:r>
          </w:p>
        </w:tc>
        <w:tc>
          <w:tcPr>
            <w:tcW w:w="4320" w:type="dxa"/>
            <w:noWrap w:val="false"/>
          </w:tcPr>
          <w:p>
            <w:r>
              <w:rPr>
                <w:sz w:val="20"/>
              </w:rPr>
              <w:t>Subcommittee: Bousselot, Shipley, and Weiner. (3/5/24)</w:t>
            </w:r>
          </w:p>
        </w:tc>
        <w:tc>
          <w:tcPr>
            <w:tcW w:w="4320" w:type="dxa"/>
            <w:noWrap w:val="false"/>
          </w:tcPr>
          <w:p>
            <w:pPr>
              <w:spacing w:before="0" w:after="0"/>
            </w:pPr>
            <w:r>
              <w:t/>
            </w:r>
          </w:p>
        </w:tc>
      </w:tr>
      <w:tr>
        <w:trPr>
          <w:cantSplit w:val="true"/>
        </w:trPr>
        <w:tc>
          <w:tcPr>
            <w:tcW w:w="2160" w:type="dxa"/>
            <w:noWrap w:val="false"/>
          </w:tcPr>
          <w:p>
            <w:hyperlink r:id="rId10">
              <w:r>
                <w:rPr>
                  <w:rStyle w:val="Hyperlink"/>
                  <w:color w:val="0000FF"/>
                </w:rPr>
                <w:t xml:space="preserve">SF 2335</w:t>
              </w:r>
            </w:hyperlink>
          </w:p>
          <w:p>
            <w:hyperlink r:id="rId11">
              <w:r>
                <w:rPr>
                  <w:rStyle w:val="Hyperlink"/>
                  <w:color w:val="0000FF"/>
                </w:rPr>
                <w:t xml:space="preserve">CO:HF 2659</w:t>
              </w:r>
            </w:hyperlink>
          </w:p>
        </w:tc>
        <w:tc>
          <w:tcPr>
            <w:tcW w:w="3600" w:type="dxa"/>
            <w:noWrap w:val="false"/>
          </w:tcPr>
          <w:p>
            <w:r>
              <w:rPr>
                <w:sz w:val="20"/>
              </w:rPr>
              <w:t>A bill for an act relating to the licensure of medical cannabidiol dispensaries. (Formerly SSB 3100.)</w:t>
            </w:r>
          </w:p>
        </w:tc>
        <w:tc>
          <w:tcPr>
            <w:tcW w:w="4320" w:type="dxa"/>
            <w:noWrap w:val="false"/>
          </w:tcPr>
          <w:p>
            <w:r>
              <w:rPr>
                <w:sz w:val="20"/>
              </w:rPr>
              <w:t>Fiscal Note. (4/3/24)</w:t>
            </w:r>
          </w:p>
        </w:tc>
        <w:tc>
          <w:tcPr>
            <w:tcW w:w="4320" w:type="dxa"/>
            <w:noWrap w:val="false"/>
          </w:tcPr>
          <w:p>
            <w:pPr>
              <w:spacing w:before="0" w:after="0"/>
            </w:pPr>
            <w:r>
              <w:t/>
            </w:r>
          </w:p>
        </w:tc>
      </w:tr>
    </w:tbl>
    <w:p>
      <w:r>
        <w:rPr>
          <w:sz w:val="24"/>
        </w:rPr>
        <w:t/>
      </w:r>
    </w:p>
    <w:p>
      <w:pPr>
        <w:spacing w:before="0" w:after="0"/>
      </w:pPr>
      <w:r>
        <w:rPr>
          <w:b w:val="true"/>
          <w:sz w:val="48"/>
          <w:u w:val="single"/>
        </w:rPr>
        <w:t>Did Not Advance</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2">
              <w:r>
                <w:rPr>
                  <w:rStyle w:val="Hyperlink"/>
                  <w:color w:val="0000FF"/>
                </w:rPr>
                <w:t xml:space="preserve">HF 2147</w:t>
              </w:r>
            </w:hyperlink>
          </w:p>
        </w:tc>
        <w:tc>
          <w:tcPr>
            <w:tcW w:w="3600" w:type="dxa"/>
            <w:noWrap w:val="false"/>
          </w:tcPr>
          <w:p>
            <w:r>
              <w:rPr>
                <w:sz w:val="20"/>
              </w:rPr>
              <w:t>A bill for an act relating to student access to broad-spectrum cannabidiol products from school nurses during the school day.</w:t>
            </w:r>
          </w:p>
        </w:tc>
        <w:tc>
          <w:tcPr>
            <w:tcW w:w="4320" w:type="dxa"/>
            <w:noWrap w:val="false"/>
          </w:tcPr>
          <w:p>
            <w:r>
              <w:rPr>
                <w:sz w:val="20"/>
              </w:rPr>
              <w:t>Introduced, referred to Education. (1/25/24)</w:t>
            </w:r>
          </w:p>
        </w:tc>
        <w:tc>
          <w:tcPr>
            <w:tcW w:w="4320" w:type="dxa"/>
            <w:noWrap w:val="false"/>
          </w:tcPr>
          <w:p>
            <w:pPr>
              <w:spacing w:before="0" w:after="0"/>
            </w:pPr>
            <w:r>
              <w:t/>
            </w:r>
          </w:p>
        </w:tc>
      </w:tr>
      <w:tr>
        <w:trPr>
          <w:cantSplit w:val="true"/>
        </w:trPr>
        <w:tc>
          <w:tcPr>
            <w:tcW w:w="2160" w:type="dxa"/>
            <w:noWrap w:val="false"/>
          </w:tcPr>
          <w:p>
            <w:hyperlink r:id="rId13">
              <w:r>
                <w:rPr>
                  <w:rStyle w:val="Hyperlink"/>
                  <w:color w:val="0000FF"/>
                </w:rPr>
                <w:t xml:space="preserve">HF 2650</w:t>
              </w:r>
            </w:hyperlink>
          </w:p>
        </w:tc>
        <w:tc>
          <w:tcPr>
            <w:tcW w:w="3600" w:type="dxa"/>
            <w:noWrap w:val="false"/>
          </w:tcPr>
          <w:p>
            <w:r>
              <w:rPr>
                <w:sz w:val="20"/>
              </w:rPr>
              <w:t>A bill for an act relating to medical cannabidiol by providing deductions from the individual and corporate income taxes for expenses incurred by medical cannabidiol manufacturers and dispensaries, and including retroactive applicability provisions.(Formerly HSB 683.)</w:t>
            </w:r>
          </w:p>
        </w:tc>
        <w:tc>
          <w:tcPr>
            <w:tcW w:w="4320" w:type="dxa"/>
            <w:noWrap w:val="false"/>
          </w:tcPr>
          <w:p>
            <w:r>
              <w:rPr>
                <w:sz w:val="20"/>
              </w:rPr>
              <w:t>Fiscal Note. (3/8/24)</w:t>
            </w:r>
          </w:p>
        </w:tc>
        <w:tc>
          <w:tcPr>
            <w:tcW w:w="4320" w:type="dxa"/>
            <w:noWrap w:val="false"/>
          </w:tcPr>
          <w:p>
            <w:pPr>
              <w:spacing w:before="0" w:after="0"/>
            </w:pPr>
            <w:r>
              <w:t/>
            </w:r>
          </w:p>
        </w:tc>
      </w:tr>
      <w:tr>
        <w:trPr>
          <w:cantSplit w:val="true"/>
        </w:trPr>
        <w:tc>
          <w:tcPr>
            <w:tcW w:w="2160" w:type="dxa"/>
            <w:noWrap w:val="false"/>
          </w:tcPr>
          <w:p>
            <w:hyperlink r:id="rId14">
              <w:r>
                <w:rPr>
                  <w:rStyle w:val="Hyperlink"/>
                  <w:color w:val="0000FF"/>
                </w:rPr>
                <w:t xml:space="preserve">HF 2659</w:t>
              </w:r>
            </w:hyperlink>
          </w:p>
          <w:p>
            <w:hyperlink r:id="rId15">
              <w:r>
                <w:rPr>
                  <w:rStyle w:val="Hyperlink"/>
                  <w:color w:val="0000FF"/>
                </w:rPr>
                <w:t xml:space="preserve">CO:SF 2335</w:t>
              </w:r>
            </w:hyperlink>
          </w:p>
        </w:tc>
        <w:tc>
          <w:tcPr>
            <w:tcW w:w="3600" w:type="dxa"/>
            <w:noWrap w:val="false"/>
          </w:tcPr>
          <w:p>
            <w:r>
              <w:rPr>
                <w:sz w:val="20"/>
              </w:rPr>
              <w:t>A bill for an act relating to the licensure of medical cannabidiol dispensaries.(Formerly HSB 684.)</w:t>
            </w:r>
          </w:p>
        </w:tc>
        <w:tc>
          <w:tcPr>
            <w:tcW w:w="4320" w:type="dxa"/>
            <w:noWrap w:val="false"/>
          </w:tcPr>
          <w:p>
            <w:r>
              <w:rPr>
                <w:sz w:val="20"/>
              </w:rPr>
              <w:t>Fiscal Note. (3/21/24)</w:t>
            </w:r>
          </w:p>
        </w:tc>
        <w:tc>
          <w:tcPr>
            <w:tcW w:w="4320" w:type="dxa"/>
            <w:noWrap w:val="false"/>
          </w:tcPr>
          <w:p>
            <w:pPr>
              <w:spacing w:before="0" w:after="0"/>
            </w:pPr>
            <w:r>
              <w:t/>
            </w:r>
          </w:p>
        </w:tc>
      </w:tr>
      <w:tr>
        <w:trPr>
          <w:cantSplit w:val="true"/>
        </w:trPr>
        <w:tc>
          <w:tcPr>
            <w:tcW w:w="2160" w:type="dxa"/>
            <w:noWrap w:val="false"/>
          </w:tcPr>
          <w:p>
            <w:hyperlink r:id="rId16">
              <w:r>
                <w:rPr>
                  <w:rStyle w:val="Hyperlink"/>
                  <w:color w:val="0000FF"/>
                </w:rPr>
                <w:t xml:space="preserve">HSB 532</w:t>
              </w:r>
            </w:hyperlink>
          </w:p>
        </w:tc>
        <w:tc>
          <w:tcPr>
            <w:tcW w:w="3600" w:type="dxa"/>
            <w:noWrap w:val="false"/>
          </w:tcPr>
          <w:p>
            <w:r>
              <w:rPr>
                <w:sz w:val="20"/>
              </w:rPr>
              <w:t>A bill for an act relating to the definition of medical cannabidiol.</w:t>
            </w:r>
          </w:p>
        </w:tc>
        <w:tc>
          <w:tcPr>
            <w:tcW w:w="4320" w:type="dxa"/>
            <w:noWrap w:val="false"/>
          </w:tcPr>
          <w:p>
            <w:r>
              <w:rPr>
                <w:sz w:val="20"/>
              </w:rPr>
              <w:t>Subcommittee recommends passage. Vote Total: 3-0. (1/16/24)</w:t>
            </w:r>
          </w:p>
        </w:tc>
        <w:tc>
          <w:tcPr>
            <w:tcW w:w="4320" w:type="dxa"/>
            <w:noWrap w:val="false"/>
          </w:tcPr>
          <w:p>
            <w:pPr>
              <w:spacing w:before="0" w:after="0"/>
            </w:pPr>
            <w:r>
              <w:t>Monitor/Undecided</w:t>
            </w:r>
          </w:p>
        </w:tc>
      </w:tr>
      <w:tr>
        <w:trPr>
          <w:cantSplit w:val="true"/>
        </w:trPr>
        <w:tc>
          <w:tcPr>
            <w:tcW w:w="2160" w:type="dxa"/>
            <w:noWrap w:val="false"/>
          </w:tcPr>
          <w:p>
            <w:hyperlink r:id="rId17">
              <w:r>
                <w:rPr>
                  <w:rStyle w:val="Hyperlink"/>
                  <w:color w:val="0000FF"/>
                </w:rPr>
                <w:t xml:space="preserve">SF 2074</w:t>
              </w:r>
            </w:hyperlink>
          </w:p>
        </w:tc>
        <w:tc>
          <w:tcPr>
            <w:tcW w:w="3600" w:type="dxa"/>
            <w:noWrap w:val="false"/>
          </w:tcPr>
          <w:p>
            <w:r>
              <w:rPr>
                <w:sz w:val="20"/>
              </w:rPr>
              <w:t>A bill for an act relating to operating a motor vehicle after consuming medical cannabidiol, and including effective date provisions.</w:t>
            </w:r>
          </w:p>
        </w:tc>
        <w:tc>
          <w:tcPr>
            <w:tcW w:w="4320" w:type="dxa"/>
            <w:noWrap w:val="false"/>
          </w:tcPr>
          <w:p>
            <w:r>
              <w:rPr>
                <w:sz w:val="20"/>
              </w:rPr>
              <w:t>Subcommittee recommends amendment and passage. []. (2/7/24)</w:t>
            </w:r>
          </w:p>
        </w:tc>
        <w:tc>
          <w:tcPr>
            <w:tcW w:w="4320" w:type="dxa"/>
            <w:noWrap w:val="false"/>
          </w:tcPr>
          <w:p>
            <w:pPr>
              <w:spacing w:before="0" w:after="0"/>
            </w:pPr>
            <w:r>
              <w:t/>
            </w:r>
          </w:p>
        </w:tc>
      </w:tr>
      <w:tr>
        <w:trPr>
          <w:cantSplit w:val="true"/>
        </w:trPr>
        <w:tc>
          <w:tcPr>
            <w:tcW w:w="2160" w:type="dxa"/>
            <w:noWrap w:val="false"/>
          </w:tcPr>
          <w:p>
            <w:hyperlink r:id="rId18">
              <w:r>
                <w:rPr>
                  <w:rStyle w:val="Hyperlink"/>
                  <w:color w:val="0000FF"/>
                </w:rPr>
                <w:t xml:space="preserve">SF 2417</w:t>
              </w:r>
            </w:hyperlink>
          </w:p>
        </w:tc>
        <w:tc>
          <w:tcPr>
            <w:tcW w:w="3600" w:type="dxa"/>
            <w:noWrap w:val="false"/>
          </w:tcPr>
          <w:p>
            <w:r>
              <w:rPr>
                <w:sz w:val="20"/>
              </w:rPr>
              <w:t>A bill for an act establishing an excise tax on the sales price of consumable hemp products sold or purchased at bars or restaurants.(Formerly SSB 3186.)</w:t>
            </w:r>
          </w:p>
        </w:tc>
        <w:tc>
          <w:tcPr>
            <w:tcW w:w="4320" w:type="dxa"/>
            <w:noWrap w:val="false"/>
          </w:tcPr>
          <w:p>
            <w:r>
              <w:rPr>
                <w:sz w:val="20"/>
              </w:rPr>
              <w:t>Fiscal Note. (3/26/24)</w:t>
            </w:r>
          </w:p>
        </w:tc>
        <w:tc>
          <w:tcPr>
            <w:tcW w:w="4320" w:type="dxa"/>
            <w:noWrap w:val="false"/>
          </w:tcPr>
          <w:p>
            <w:pPr>
              <w:spacing w:before="0" w:after="0"/>
            </w:pPr>
            <w:r>
              <w:t/>
            </w:r>
          </w:p>
        </w:tc>
      </w:tr>
      <w:tr>
        <w:trPr>
          <w:cantSplit w:val="true"/>
        </w:trPr>
        <w:tc>
          <w:tcPr>
            <w:tcW w:w="2160" w:type="dxa"/>
            <w:noWrap w:val="false"/>
          </w:tcPr>
          <w:p>
            <w:hyperlink r:id="rId19">
              <w:r>
                <w:rPr>
                  <w:rStyle w:val="Hyperlink"/>
                  <w:color w:val="0000FF"/>
                </w:rPr>
                <w:t xml:space="preserve">SF 2425</w:t>
              </w:r>
            </w:hyperlink>
          </w:p>
        </w:tc>
        <w:tc>
          <w:tcPr>
            <w:tcW w:w="3600" w:type="dxa"/>
            <w:noWrap w:val="false"/>
          </w:tcPr>
          <w:p>
            <w:r>
              <w:rPr>
                <w:sz w:val="20"/>
              </w:rPr>
              <w:t>A bill for an act relating to civil liability and associated insurance requirements of alcoholic beverage licensees or permittees who also sell or serve consumable hemp products.(Formerly SSB 3195.)</w:t>
            </w:r>
          </w:p>
        </w:tc>
        <w:tc>
          <w:tcPr>
            <w:tcW w:w="4320" w:type="dxa"/>
            <w:noWrap w:val="false"/>
          </w:tcPr>
          <w:p>
            <w:r>
              <w:rPr>
                <w:sz w:val="20"/>
              </w:rPr>
              <w:t>Committee report, approving bill. (4/4/24)</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Consumable Hemp Advocates 2024 Final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0&amp;ba=HF2605" Type="http://schemas.openxmlformats.org/officeDocument/2006/relationships/hyperlink" Id="rId7"/><Relationship TargetMode="External" Target="https://www.legis.iowa.gov/legislation/BillBook?ga=90&amp;ba=SF2352" Type="http://schemas.openxmlformats.org/officeDocument/2006/relationships/hyperlink" Id="rId8"/><Relationship TargetMode="External" Target="https://www.legis.iowa.gov/legislation/BillBook?ga=90&amp;ba=HF2573" Type="http://schemas.openxmlformats.org/officeDocument/2006/relationships/hyperlink" Id="rId9"/><Relationship TargetMode="External" Target="https://www.legis.iowa.gov/legislation/BillBook?ga=90&amp;ba=SF2335" Type="http://schemas.openxmlformats.org/officeDocument/2006/relationships/hyperlink" Id="rId10"/><Relationship TargetMode="External" Target="https://www.legis.iowa.gov/legislation/BillBook?ga=90&amp;ba=HF2659" Type="http://schemas.openxmlformats.org/officeDocument/2006/relationships/hyperlink" Id="rId11"/><Relationship TargetMode="External" Target="https://www.legis.iowa.gov/legislation/BillBook?ga=90&amp;ba=HF2147" Type="http://schemas.openxmlformats.org/officeDocument/2006/relationships/hyperlink" Id="rId12"/><Relationship TargetMode="External" Target="https://www.legis.iowa.gov/legislation/BillBook?ga=90&amp;ba=HF2650" Type="http://schemas.openxmlformats.org/officeDocument/2006/relationships/hyperlink" Id="rId13"/><Relationship TargetMode="External" Target="https://www.legis.iowa.gov/legislation/BillBook?ga=90&amp;ba=HF2659" Type="http://schemas.openxmlformats.org/officeDocument/2006/relationships/hyperlink" Id="rId14"/><Relationship TargetMode="External" Target="https://www.legis.iowa.gov/legislation/BillBook?ga=90&amp;ba=SF2335" Type="http://schemas.openxmlformats.org/officeDocument/2006/relationships/hyperlink" Id="rId15"/><Relationship TargetMode="External" Target="https://www.legis.iowa.gov/legislation/BillBook?ga=90&amp;ba=HSB532" Type="http://schemas.openxmlformats.org/officeDocument/2006/relationships/hyperlink" Id="rId16"/><Relationship TargetMode="External" Target="https://www.legis.iowa.gov/legislation/BillBook?ga=90&amp;ba=SF2074" Type="http://schemas.openxmlformats.org/officeDocument/2006/relationships/hyperlink" Id="rId17"/><Relationship TargetMode="External" Target="https://www.legis.iowa.gov/legislation/BillBook?ga=90&amp;ba=SF2417" Type="http://schemas.openxmlformats.org/officeDocument/2006/relationships/hyperlink" Id="rId18"/><Relationship TargetMode="External" Target="https://www.legis.iowa.gov/legislation/BillBook?ga=90&amp;ba=SF2425" Type="http://schemas.openxmlformats.org/officeDocument/2006/relationships/hyperlink" Id="rId19"/></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properties="http://schemas.openxmlformats.org/officeDocument/2006/extended-properties" xmlns:vt="http://schemas.openxmlformats.org/officeDocument/2006/docPropsVTyp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