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package.relationships+xml" PartName="/_rels/.rels"/>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package.relationships+xml" PartName="/word/_rels/document.xml.rels"/>
  <Override ContentType="application/vnd.openxmlformats-package.relationships+xml" PartName="/word/_rels/header1.xml.rels"/>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image/jpeg" PartName="/word/media/image1.jpe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Target="docProps/core.xml" Type="http://schemas.openxmlformats.org/package/2006/relationships/metadata/core-properties" Id="rId1"></Relationship><Relationship Target="docProps/app.xml" Type="http://schemas.openxmlformats.org/officeDocument/2006/relationships/extended-properties" Id="rId2"></Relationship><Relationship Target="docProps/custom.xml" Type="http://schemas.openxmlformats.org/officeDocument/2006/relationships/custom-properties" Id="rId3"></Relationship><Relationship Target="word/document.xml" Type="http://schemas.openxmlformats.org/officeDocument/2006/relationships/officeDocument" Id="rId4"></Relationship></Relationships>
</file>

<file path=word/document.xml><?xml version="1.0" encoding="utf-8"?>
<w:document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w:body>
    <w:p>
      <w:pPr>
        <w:pStyle w:val="Body"/>
        <w:spacing w:before="0" w:after="0" w:line="240" w:lineRule="auto"/>
        <w:rPr/>
      </w:pPr>
      <w:r>
        <w:rPr/>
      </w:r>
    </w:p>
    <w:p>
      <w:r>
        <w:rPr>
          <w:sz w:val="24"/>
        </w:rPr>
        <w:t/>
      </w:r>
    </w:p>
    <w:p>
      <w:pPr>
        <w:spacing w:before="0" w:after="0"/>
      </w:pPr>
      <w:r>
        <w:rPr>
          <w:b w:val="true"/>
          <w:sz w:val="36"/>
          <w:u w:val="single"/>
        </w:rPr>
        <w:t>Alive Bills</w:t>
      </w:r>
    </w:p>
    <w:p>
      <w:r>
        <w:rPr>
          <w:sz w:val="36"/>
        </w:rPr>
        <w:t/>
      </w:r>
    </w:p>
    <w:tbl>
      <w:tblPr>
        <w:tblStyle w:val="TableGrid"/>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2160"/>
        <w:gridCol w:w="3600"/>
        <w:gridCol w:w="4320"/>
        <w:gridCol w:w="4320"/>
      </w:tblGrid>
      <w:tr>
        <w:trPr>
          <w:tblHeader w:val="true"/>
          <w:cantSplit w:val="true"/>
        </w:trPr>
        <w:tc>
          <w:tcPr>
            <w:tcW w:w="2160" w:type="dxa"/>
            <w:shd w:val="clear" w:color="auto" w:fill="8EB4E0"/>
          </w:tcPr>
          <w:p>
            <w:pPr>
              <w:jc w:val="left"/>
            </w:pPr>
            <w:r>
              <w:rPr>
                <w:b w:val="true"/>
                <w:sz w:val="22"/>
              </w:rPr>
              <w:t>BILL</w:t>
            </w:r>
          </w:p>
        </w:tc>
        <w:tc>
          <w:tcPr>
            <w:tcW w:type="right"/>
            <w:shd w:val="clear" w:color="auto" w:fill="8EB4E0"/>
          </w:tcPr>
          <w:p>
            <w:pPr>
              <w:jc w:val="left"/>
            </w:pPr>
            <w:r>
              <w:rPr>
                <w:b w:val="true"/>
                <w:sz w:val="22"/>
              </w:rPr>
              <w:t>DESCRIPTION</w:t>
            </w:r>
          </w:p>
        </w:tc>
        <w:tc>
          <w:tcPr>
            <w:tcW w:type="right"/>
            <w:shd w:val="clear" w:color="auto" w:fill="8EB4E0"/>
          </w:tcPr>
          <w:p>
            <w:pPr>
              <w:jc w:val="left"/>
            </w:pPr>
            <w:r>
              <w:rPr>
                <w:b w:val="true"/>
                <w:sz w:val="22"/>
              </w:rPr>
              <w:t>STATUS</w:t>
            </w:r>
          </w:p>
        </w:tc>
        <w:tc>
          <w:tcPr>
            <w:tcW w:type="right"/>
            <w:shd w:val="clear" w:color="auto" w:fill="8EB4E0"/>
          </w:tcPr>
          <w:p>
            <w:pPr>
              <w:jc w:val="left"/>
            </w:pPr>
            <w:r>
              <w:rPr>
                <w:b w:val="true"/>
                <w:sz w:val="22"/>
              </w:rPr>
              <w:t>NOTE</w:t>
            </w:r>
          </w:p>
        </w:tc>
      </w:tr>
      <w:tr>
        <w:trPr>
          <w:cantSplit w:val="true"/>
        </w:trPr>
        <w:tc>
          <w:tcPr>
            <w:tcW w:w="2160" w:type="dxa"/>
            <w:noWrap w:val="false"/>
          </w:tcPr>
          <w:p>
            <w:hyperlink r:id="rId7">
              <w:r>
                <w:rPr>
                  <w:rStyle w:val="Hyperlink"/>
                  <w:color w:val="0000FF"/>
                </w:rPr>
                <w:t xml:space="preserve">HF 2390</w:t>
              </w:r>
            </w:hyperlink>
          </w:p>
        </w:tc>
        <w:tc>
          <w:tcPr>
            <w:tcW w:w="3600" w:type="dxa"/>
            <w:noWrap w:val="false"/>
          </w:tcPr>
          <w:p>
            <w:r>
              <w:rPr>
                <w:sz w:val="20"/>
              </w:rPr>
              <w:t>A bill for an act relating to workforce housing project tax incentives issued by the economic development authority, and including effective date provisions.</w:t>
            </w:r>
          </w:p>
        </w:tc>
        <w:tc>
          <w:tcPr>
            <w:tcW w:w="4320" w:type="dxa"/>
            <w:noWrap w:val="false"/>
          </w:tcPr>
          <w:p>
            <w:r>
              <w:rPr>
                <w:sz w:val="20"/>
              </w:rPr>
              <w:t>Introduced, referred to Ways and Means. (2/10/26)</w:t>
            </w:r>
          </w:p>
        </w:tc>
        <w:tc>
          <w:tcPr>
            <w:tcW w:w="4320" w:type="dxa"/>
            <w:noWrap w:val="false"/>
          </w:tcPr>
          <w:p>
            <w:pPr>
              <w:spacing w:before="0" w:after="0"/>
            </w:pPr>
            <w:r>
              <w:t/>
            </w:r>
          </w:p>
        </w:tc>
      </w:tr>
      <w:tr>
        <w:trPr>
          <w:cantSplit w:val="true"/>
        </w:trPr>
        <w:tc>
          <w:tcPr>
            <w:tcW w:w="2160" w:type="dxa"/>
            <w:noWrap w:val="false"/>
          </w:tcPr>
          <w:p>
            <w:hyperlink r:id="rId8">
              <w:r>
                <w:rPr>
                  <w:rStyle w:val="Hyperlink"/>
                  <w:color w:val="0000FF"/>
                </w:rPr>
                <w:t xml:space="preserve">HF 2745</w:t>
              </w:r>
            </w:hyperlink>
          </w:p>
        </w:tc>
        <w:tc>
          <w:tcPr>
            <w:tcW w:w="3600" w:type="dxa"/>
            <w:noWrap w:val="false"/>
          </w:tcPr>
          <w:p>
            <w:r>
              <w:rPr>
                <w:sz w:val="20"/>
              </w:rPr>
              <w:t>A bill for an act relating to state and local government taxes, budgets, and authority, by modifying provisions relating to the assessment and taxation of property, funding from the secure an advanced vision for education fund, urban renewal areas, establishing a program for certain first-time homebuyers, establishing a local government efficiency grant fund, making appropriations, and including effective date, applicability, and retroactive applicability provisions.(Formerly HSB 596.)</w:t>
            </w:r>
          </w:p>
        </w:tc>
        <w:tc>
          <w:tcPr>
            <w:tcW w:w="4320" w:type="dxa"/>
            <w:noWrap w:val="false"/>
          </w:tcPr>
          <w:p>
            <w:r>
              <w:rPr>
                <w:sz w:val="20"/>
              </w:rPr>
              <w:t>Amendment H-8374 filed. (4/16/26)</w:t>
            </w:r>
          </w:p>
        </w:tc>
        <w:tc>
          <w:tcPr>
            <w:tcW w:w="4320" w:type="dxa"/>
            <w:noWrap w:val="false"/>
          </w:tcPr>
          <w:p>
            <w:pPr>
              <w:spacing w:before="0" w:after="0"/>
            </w:pPr>
            <w:r>
              <w:t/>
            </w:r>
          </w:p>
        </w:tc>
      </w:tr>
      <w:tr>
        <w:trPr>
          <w:cantSplit w:val="true"/>
        </w:trPr>
        <w:tc>
          <w:tcPr>
            <w:tcW w:w="2160" w:type="dxa"/>
            <w:noWrap w:val="false"/>
          </w:tcPr>
          <w:p>
            <w:hyperlink r:id="rId9">
              <w:r>
                <w:rPr>
                  <w:rStyle w:val="Hyperlink"/>
                  <w:color w:val="0000FF"/>
                </w:rPr>
                <w:t xml:space="preserve">HF 2772</w:t>
              </w:r>
            </w:hyperlink>
          </w:p>
        </w:tc>
        <w:tc>
          <w:tcPr>
            <w:tcW w:w="3600" w:type="dxa"/>
            <w:noWrap w:val="false"/>
          </w:tcPr>
          <w:p>
            <w:r>
              <w:rPr>
                <w:sz w:val="20"/>
              </w:rPr>
              <w:t>A bill for an act relating to and making appropriations for the economic development of the state, including to the economic development authority, Iowa finance authority, department of workforce development, and state board of regents and certain regents institutions, and codifying the housing renewal program. (Formerly HSB 773.) Effective date: 07/01/2026</w:t>
            </w:r>
          </w:p>
        </w:tc>
        <w:tc>
          <w:tcPr>
            <w:tcW w:w="4320" w:type="dxa"/>
            <w:noWrap w:val="false"/>
          </w:tcPr>
          <w:p>
            <w:r>
              <w:rPr>
                <w:sz w:val="20"/>
              </w:rPr>
              <w:t>Reported correctly enrolled, signed by Speaker and President, and sent to Governor. (5/6/26)</w:t>
            </w:r>
            <w:br/>
            <w:r>
              <w:rPr>
                <w:sz w:val="20"/>
              </w:rPr>
              <w:t>Passed House , yeas 57, nays 32. (4/28/26)</w:t>
            </w:r>
            <w:br/>
            <w:r>
              <w:rPr>
                <w:sz w:val="20"/>
              </w:rPr>
              <w:t>Passed Senate , yeas 30, nays 16. (4/28/26)</w:t>
            </w:r>
          </w:p>
        </w:tc>
        <w:tc>
          <w:tcPr>
            <w:tcW w:w="4320" w:type="dxa"/>
            <w:noWrap w:val="false"/>
          </w:tcPr>
          <w:p>
            <w:pPr>
              <w:spacing w:before="0" w:after="0"/>
            </w:pPr>
            <w:r>
              <w:t/>
            </w:r>
          </w:p>
        </w:tc>
      </w:tr>
      <w:tr>
        <w:trPr>
          <w:cantSplit w:val="true"/>
        </w:trPr>
        <w:tc>
          <w:tcPr>
            <w:tcW w:w="2160" w:type="dxa"/>
            <w:noWrap w:val="false"/>
          </w:tcPr>
          <w:p>
            <w:hyperlink r:id="rId10">
              <w:r>
                <w:rPr>
                  <w:rStyle w:val="Hyperlink"/>
                  <w:color w:val="0000FF"/>
                </w:rPr>
                <w:t xml:space="preserve">HSB 324</w:t>
              </w:r>
            </w:hyperlink>
          </w:p>
        </w:tc>
        <w:tc>
          <w:tcPr>
            <w:tcW w:w="3600" w:type="dxa"/>
            <w:noWrap w:val="false"/>
          </w:tcPr>
          <w:p>
            <w:r>
              <w:rPr>
                <w:sz w:val="20"/>
              </w:rPr>
              <w:t>A bill for an act excluding interchange fees imposed upon certain taxes at points of sale.</w:t>
            </w:r>
          </w:p>
        </w:tc>
        <w:tc>
          <w:tcPr>
            <w:tcW w:w="4320" w:type="dxa"/>
            <w:noWrap w:val="false"/>
          </w:tcPr>
          <w:p>
            <w:r>
              <w:rPr>
                <w:sz w:val="20"/>
              </w:rPr>
              <w:t>Subcommittee recommends passage. (3/5/26)</w:t>
            </w:r>
          </w:p>
        </w:tc>
        <w:tc>
          <w:tcPr>
            <w:tcW w:w="4320" w:type="dxa"/>
            <w:noWrap w:val="false"/>
          </w:tcPr>
          <w:p>
            <w:pPr>
              <w:spacing w:before="0" w:after="0"/>
            </w:pPr>
            <w:r>
              <w:t/>
            </w:r>
          </w:p>
          <w:p>
            <w:pPr>
              <w:spacing w:before="0" w:after="0"/>
            </w:pPr>
            <w:r>
              <w:t>The swipe fee bill moved forward out of subcommittee this morning with strong support from grocers, fuel retailers, the restaurant association, and more. However, payment vendors, banks, and credit unions are strongly opposed.The merits of the Illinois court case were discussed, with proponents pointing to the case proving this legislation is constitutional, while opponents said the case is still in the appeals process and has cost Illinois substantial sums of taxpayer money. Rep. Lundgren noted she wanted to continue to work on the issue for Iowa retailers and consumers. </w:t>
            </w:r>
          </w:p>
          <w:p>
            <w:pPr>
              <w:spacing w:before="0" w:after="0"/>
            </w:pPr>
            <w:r>
              <w:t/>
            </w:r>
          </w:p>
        </w:tc>
      </w:tr>
      <w:tr>
        <w:trPr>
          <w:cantSplit w:val="true"/>
        </w:trPr>
        <w:tc>
          <w:tcPr>
            <w:tcW w:w="2160" w:type="dxa"/>
            <w:noWrap w:val="false"/>
          </w:tcPr>
          <w:p>
            <w:hyperlink r:id="rId11">
              <w:r>
                <w:rPr>
                  <w:rStyle w:val="Hyperlink"/>
                  <w:color w:val="0000FF"/>
                </w:rPr>
                <w:t xml:space="preserve">HSB 563</w:t>
              </w:r>
            </w:hyperlink>
          </w:p>
          <w:p>
            <w:hyperlink r:id="rId12">
              <w:r>
                <w:rPr>
                  <w:rStyle w:val="Hyperlink"/>
                  <w:color w:val="0000FF"/>
                </w:rPr>
                <w:t xml:space="preserve">CO:SSB 3034</w:t>
              </w:r>
            </w:hyperlink>
          </w:p>
        </w:tc>
        <w:tc>
          <w:tcPr>
            <w:tcW w:w="3600" w:type="dxa"/>
            <w:noWrap w:val="false"/>
          </w:tcPr>
          <w:p>
            <w:r>
              <w:rPr>
                <w:sz w:val="20"/>
              </w:rPr>
              <w:t>A bill for an act relating to state and local government taxes, budgets, and authority, by modifying provisions relating to the assessment and taxation of property, funding from the secure an advanced vision for education fund, the election of certain county officers, urban renewal areas and urban revitalization areas, establishing a rent reimbursement program, establishing a program for certain first-time homebuyers, establishing a local government shared-services grant fund, making appropriations, and including effective date, applicability, and retroactive applicability provisions.</w:t>
            </w:r>
          </w:p>
        </w:tc>
        <w:tc>
          <w:tcPr>
            <w:tcW w:w="4320" w:type="dxa"/>
            <w:noWrap w:val="false"/>
          </w:tcPr>
          <w:p>
            <w:r>
              <w:rPr>
                <w:sz w:val="20"/>
              </w:rPr>
              <w:t>Subcommittee recommends passage. (1/29/26)</w:t>
            </w:r>
          </w:p>
        </w:tc>
        <w:tc>
          <w:tcPr>
            <w:tcW w:w="4320" w:type="dxa"/>
            <w:noWrap w:val="false"/>
          </w:tcPr>
          <w:p>
            <w:pPr>
              <w:spacing w:before="0" w:after="0"/>
            </w:pPr>
            <w:r>
              <w:t/>
            </w:r>
          </w:p>
          <w:p>
            <w:pPr>
              <w:spacing w:before="0" w:after="0"/>
            </w:pPr>
            <w:r>
              <w:t>The Governor's property tax reform package received some support from tax organizations, but lots of questions on the senior tax freeze and impacts on services. Also, the section changing county offices to appointed positions received strong criticism from sheriffs, recorders, and auditors. The bill moved forward with only Republican support as lawmakers made clear this was only the start of the conversation. </w:t>
            </w:r>
          </w:p>
          <w:p>
            <w:pPr>
              <w:spacing w:before="0" w:after="0"/>
            </w:pPr>
            <w:r>
              <w:t/>
            </w:r>
          </w:p>
        </w:tc>
      </w:tr>
      <w:tr>
        <w:trPr>
          <w:cantSplit w:val="true"/>
        </w:trPr>
        <w:tc>
          <w:tcPr>
            <w:tcW w:w="2160" w:type="dxa"/>
            <w:noWrap w:val="false"/>
          </w:tcPr>
          <w:p>
            <w:hyperlink r:id="rId13">
              <w:r>
                <w:rPr>
                  <w:rStyle w:val="Hyperlink"/>
                  <w:color w:val="0000FF"/>
                </w:rPr>
                <w:t xml:space="preserve">SSB 3034</w:t>
              </w:r>
            </w:hyperlink>
          </w:p>
          <w:p>
            <w:hyperlink r:id="rId14">
              <w:r>
                <w:rPr>
                  <w:rStyle w:val="Hyperlink"/>
                  <w:color w:val="0000FF"/>
                </w:rPr>
                <w:t xml:space="preserve">CO:HSB 563</w:t>
              </w:r>
            </w:hyperlink>
          </w:p>
        </w:tc>
        <w:tc>
          <w:tcPr>
            <w:tcW w:w="3600" w:type="dxa"/>
            <w:noWrap w:val="false"/>
          </w:tcPr>
          <w:p>
            <w:r>
              <w:rPr>
                <w:sz w:val="20"/>
              </w:rPr>
              <w:t>A bill for an act relating to state and local government taxes, budgets, and authority, by modifying provisions relating to the assessment and taxation of property, funding from the secure an advanced vision for education fund, the election of certain county officers, urban renewal areas and urban revitalization areas, establishing a rent reimbursement program, establishing a program for certain first-time homebuyers, establishing a local government shared-services grant fund, making appropriations, and including effective date, applicability, and retroactive applicability provisions.</w:t>
            </w:r>
          </w:p>
        </w:tc>
        <w:tc>
          <w:tcPr>
            <w:tcW w:w="4320" w:type="dxa"/>
            <w:noWrap w:val="false"/>
          </w:tcPr>
          <w:p>
            <w:r>
              <w:rPr>
                <w:sz w:val="20"/>
              </w:rPr>
              <w:t>Subcommittee recommends amendment and passage. (2/25/26)</w:t>
            </w:r>
          </w:p>
        </w:tc>
        <w:tc>
          <w:tcPr>
            <w:tcW w:w="4320" w:type="dxa"/>
            <w:noWrap w:val="false"/>
          </w:tcPr>
          <w:p>
            <w:pPr>
              <w:spacing w:before="0" w:after="0"/>
            </w:pPr>
            <w:r>
              <w:t/>
            </w:r>
          </w:p>
          <w:p>
            <w:pPr>
              <w:spacing w:before="0" w:after="0"/>
            </w:pPr>
            <w:r>
              <w:t>The Governor's property tax reform package received some support from tax organizations, but lots of questions on impacts on services and TIF reform in particular. ICRA spoke in opposition to the section on appointing county offices including recorders. The bill moved forward with the understanding negotiations on all versions will continue.</w:t>
            </w:r>
          </w:p>
          <w:p>
            <w:pPr>
              <w:spacing w:before="0" w:after="0"/>
            </w:pPr>
            <w:r>
              <w:t/>
            </w:r>
          </w:p>
        </w:tc>
      </w:tr>
    </w:tbl>
    <w:p>
      <w:r>
        <w:rPr>
          <w:sz w:val="24"/>
        </w:rPr>
        <w:t/>
      </w:r>
    </w:p>
    <w:p>
      <w:pPr>
        <w:spacing w:before="0" w:after="0"/>
      </w:pPr>
      <w:r>
        <w:rPr>
          <w:b w:val="true"/>
          <w:sz w:val="36"/>
          <w:u w:val="single"/>
        </w:rPr>
        <w:t>Funneled Bills</w:t>
      </w:r>
    </w:p>
    <w:p>
      <w:r>
        <w:rPr>
          <w:sz w:val="36"/>
        </w:rPr>
        <w:t/>
      </w:r>
    </w:p>
    <w:tbl>
      <w:tblPr>
        <w:tblStyle w:val="TableGrid"/>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2160"/>
        <w:gridCol w:w="3600"/>
        <w:gridCol w:w="4320"/>
        <w:gridCol w:w="4320"/>
      </w:tblGrid>
      <w:tr>
        <w:trPr>
          <w:tblHeader w:val="true"/>
          <w:cantSplit w:val="true"/>
        </w:trPr>
        <w:tc>
          <w:tcPr>
            <w:tcW w:w="2160" w:type="dxa"/>
            <w:shd w:val="clear" w:color="auto" w:fill="8EB4E0"/>
          </w:tcPr>
          <w:p>
            <w:pPr>
              <w:jc w:val="left"/>
            </w:pPr>
            <w:r>
              <w:rPr>
                <w:b w:val="true"/>
                <w:sz w:val="22"/>
              </w:rPr>
              <w:t>BILL</w:t>
            </w:r>
          </w:p>
        </w:tc>
        <w:tc>
          <w:tcPr>
            <w:tcW w:type="right"/>
            <w:shd w:val="clear" w:color="auto" w:fill="8EB4E0"/>
          </w:tcPr>
          <w:p>
            <w:pPr>
              <w:jc w:val="left"/>
            </w:pPr>
            <w:r>
              <w:rPr>
                <w:b w:val="true"/>
                <w:sz w:val="22"/>
              </w:rPr>
              <w:t>DESCRIPTION</w:t>
            </w:r>
          </w:p>
        </w:tc>
        <w:tc>
          <w:tcPr>
            <w:tcW w:type="right"/>
            <w:shd w:val="clear" w:color="auto" w:fill="8EB4E0"/>
          </w:tcPr>
          <w:p>
            <w:pPr>
              <w:jc w:val="left"/>
            </w:pPr>
            <w:r>
              <w:rPr>
                <w:b w:val="true"/>
                <w:sz w:val="22"/>
              </w:rPr>
              <w:t>STATUS</w:t>
            </w:r>
          </w:p>
        </w:tc>
        <w:tc>
          <w:tcPr>
            <w:tcW w:type="right"/>
            <w:shd w:val="clear" w:color="auto" w:fill="8EB4E0"/>
          </w:tcPr>
          <w:p>
            <w:pPr>
              <w:jc w:val="left"/>
            </w:pPr>
            <w:r>
              <w:rPr>
                <w:b w:val="true"/>
                <w:sz w:val="22"/>
              </w:rPr>
              <w:t>NOTE</w:t>
            </w:r>
          </w:p>
        </w:tc>
      </w:tr>
      <w:tr>
        <w:trPr>
          <w:cantSplit w:val="true"/>
        </w:trPr>
        <w:tc>
          <w:tcPr>
            <w:tcW w:w="2160" w:type="dxa"/>
            <w:noWrap w:val="false"/>
          </w:tcPr>
          <w:p>
            <w:hyperlink r:id="rId15">
              <w:r>
                <w:rPr>
                  <w:rStyle w:val="Hyperlink"/>
                  <w:color w:val="0000FF"/>
                </w:rPr>
                <w:t xml:space="preserve">HF 2659</w:t>
              </w:r>
            </w:hyperlink>
          </w:p>
        </w:tc>
        <w:tc>
          <w:tcPr>
            <w:tcW w:w="3600" w:type="dxa"/>
            <w:noWrap w:val="false"/>
          </w:tcPr>
          <w:p>
            <w:r>
              <w:rPr>
                <w:sz w:val="20"/>
              </w:rPr>
              <w:t>A bill for an act establishing an affordable housing task force.(Formerly HF 2312.)</w:t>
            </w:r>
          </w:p>
        </w:tc>
        <w:tc>
          <w:tcPr>
            <w:tcW w:w="4320" w:type="dxa"/>
            <w:shd w:val="clear" w:color="auto" w:fill="FF8080" w:themeFillTint="30"/>
            <w:noWrap w:val="false"/>
          </w:tcPr>
          <w:p>
            <w:r>
              <w:rPr>
                <w:sz w:val="20"/>
              </w:rPr>
              <w:t>Amendment H-8038 filed. (2/24/26)</w:t>
            </w:r>
          </w:p>
        </w:tc>
        <w:tc>
          <w:tcPr>
            <w:tcW w:w="4320" w:type="dxa"/>
            <w:noWrap w:val="false"/>
          </w:tcPr>
          <w:p>
            <w:pPr>
              <w:spacing w:before="0" w:after="0"/>
            </w:pPr>
            <w:r>
              <w:t/>
            </w:r>
          </w:p>
        </w:tc>
      </w:tr>
      <w:tr>
        <w:trPr>
          <w:cantSplit w:val="true"/>
        </w:trPr>
        <w:tc>
          <w:tcPr>
            <w:tcW w:w="2160" w:type="dxa"/>
            <w:noWrap w:val="false"/>
          </w:tcPr>
          <w:p>
            <w:hyperlink r:id="rId16">
              <w:r>
                <w:rPr>
                  <w:rStyle w:val="Hyperlink"/>
                  <w:color w:val="0000FF"/>
                </w:rPr>
                <w:t xml:space="preserve">HSB 730</w:t>
              </w:r>
            </w:hyperlink>
          </w:p>
        </w:tc>
        <w:tc>
          <w:tcPr>
            <w:tcW w:w="3600" w:type="dxa"/>
            <w:noWrap w:val="false"/>
          </w:tcPr>
          <w:p>
            <w:r>
              <w:rPr>
                <w:sz w:val="20"/>
              </w:rPr>
              <w:t>A bill for an act relating to rehabilitation projects and tax incentives under the workforce housing tax incentives program.</w:t>
            </w:r>
          </w:p>
        </w:tc>
        <w:tc>
          <w:tcPr>
            <w:tcW w:w="4320" w:type="dxa"/>
            <w:shd w:val="clear" w:color="auto" w:fill="FF8080" w:themeFillTint="30"/>
            <w:noWrap w:val="false"/>
          </w:tcPr>
          <w:p>
            <w:r>
              <w:rPr>
                <w:sz w:val="20"/>
              </w:rPr>
              <w:t>Subcommittee: Latham, Wilson and Wood. (2/12/26)</w:t>
            </w:r>
          </w:p>
        </w:tc>
        <w:tc>
          <w:tcPr>
            <w:tcW w:w="4320" w:type="dxa"/>
            <w:noWrap w:val="false"/>
          </w:tcPr>
          <w:p>
            <w:pPr>
              <w:spacing w:before="0" w:after="0"/>
            </w:pPr>
            <w:r>
              <w:t/>
            </w:r>
          </w:p>
        </w:tc>
      </w:tr>
      <w:tr>
        <w:trPr>
          <w:cantSplit w:val="true"/>
        </w:trPr>
        <w:tc>
          <w:tcPr>
            <w:tcW w:w="2160" w:type="dxa"/>
            <w:noWrap w:val="false"/>
          </w:tcPr>
          <w:p>
            <w:hyperlink r:id="rId17">
              <w:r>
                <w:rPr>
                  <w:rStyle w:val="Hyperlink"/>
                  <w:color w:val="0000FF"/>
                </w:rPr>
                <w:t xml:space="preserve">SF 2374</w:t>
              </w:r>
            </w:hyperlink>
          </w:p>
        </w:tc>
        <w:tc>
          <w:tcPr>
            <w:tcW w:w="3600" w:type="dxa"/>
            <w:noWrap w:val="false"/>
          </w:tcPr>
          <w:p>
            <w:r>
              <w:rPr>
                <w:sz w:val="20"/>
              </w:rPr>
              <w:t>A bill for an act relating to the national electrical code, and including effective date provisions. (Formerly SSB 3097.)</w:t>
            </w:r>
          </w:p>
        </w:tc>
        <w:tc>
          <w:tcPr>
            <w:tcW w:w="4320" w:type="dxa"/>
            <w:shd w:val="clear" w:color="auto" w:fill="FF8080" w:themeFillTint="30"/>
            <w:noWrap w:val="false"/>
          </w:tcPr>
          <w:p>
            <w:r>
              <w:rPr>
                <w:sz w:val="20"/>
              </w:rPr>
              <w:t>Subcommittee recommends passage. (3/19/26)</w:t>
            </w:r>
          </w:p>
        </w:tc>
        <w:tc>
          <w:tcPr>
            <w:tcW w:w="4320" w:type="dxa"/>
            <w:noWrap w:val="false"/>
          </w:tcPr>
          <w:p>
            <w:pPr>
              <w:spacing w:before="0" w:after="0"/>
            </w:pPr>
            <w:r>
              <w:t/>
            </w:r>
          </w:p>
        </w:tc>
      </w:tr>
      <w:tr>
        <w:trPr>
          <w:cantSplit w:val="true"/>
        </w:trPr>
        <w:tc>
          <w:tcPr>
            <w:tcW w:w="2160" w:type="dxa"/>
            <w:noWrap w:val="false"/>
          </w:tcPr>
          <w:p>
            <w:hyperlink r:id="rId18">
              <w:r>
                <w:rPr>
                  <w:rStyle w:val="Hyperlink"/>
                  <w:color w:val="0000FF"/>
                </w:rPr>
                <w:t xml:space="preserve">SF 2376</w:t>
              </w:r>
            </w:hyperlink>
          </w:p>
        </w:tc>
        <w:tc>
          <w:tcPr>
            <w:tcW w:w="3600" w:type="dxa"/>
            <w:noWrap w:val="false"/>
          </w:tcPr>
          <w:p>
            <w:r>
              <w:rPr>
                <w:sz w:val="20"/>
              </w:rPr>
              <w:t>A bill for an act relating to bonds and letters of credit for general contractors and subcontractors. (Formerly SF 576, SSB 1151.)</w:t>
            </w:r>
          </w:p>
        </w:tc>
        <w:tc>
          <w:tcPr>
            <w:tcW w:w="4320" w:type="dxa"/>
            <w:shd w:val="clear" w:color="auto" w:fill="FF8080" w:themeFillTint="30"/>
            <w:noWrap w:val="false"/>
          </w:tcPr>
          <w:p>
            <w:r>
              <w:rPr>
                <w:sz w:val="20"/>
              </w:rPr>
              <w:t>Fiscal Note. (3/18/26)</w:t>
            </w:r>
          </w:p>
        </w:tc>
        <w:tc>
          <w:tcPr>
            <w:tcW w:w="4320" w:type="dxa"/>
            <w:noWrap w:val="false"/>
          </w:tcPr>
          <w:p>
            <w:pPr>
              <w:spacing w:before="0" w:after="0"/>
            </w:pPr>
            <w:r>
              <w:t/>
            </w:r>
          </w:p>
          <w:p>
            <w:pPr>
              <w:spacing w:before="0" w:after="0"/>
            </w:pPr>
            <w:r>
              <w:t>Bill was jointly brought by the Surety Bond Association and AARP. IBEW spoke in favor and the City of Des Moines asked for clarification on developers granting projects to cities. The bill moved forward unanimously. </w:t>
            </w:r>
          </w:p>
          <w:p>
            <w:pPr>
              <w:spacing w:before="0" w:after="0"/>
            </w:pPr>
            <w:r>
              <w:t/>
            </w:r>
          </w:p>
        </w:tc>
      </w:tr>
      <w:tr>
        <w:trPr>
          <w:cantSplit w:val="true"/>
        </w:trPr>
        <w:tc>
          <w:tcPr>
            <w:tcW w:w="2160" w:type="dxa"/>
            <w:noWrap w:val="false"/>
          </w:tcPr>
          <w:p>
            <w:hyperlink r:id="rId19">
              <w:r>
                <w:rPr>
                  <w:rStyle w:val="Hyperlink"/>
                  <w:color w:val="0000FF"/>
                </w:rPr>
                <w:t xml:space="preserve">SF 2433</w:t>
              </w:r>
            </w:hyperlink>
          </w:p>
        </w:tc>
        <w:tc>
          <w:tcPr>
            <w:tcW w:w="3600" w:type="dxa"/>
            <w:noWrap w:val="false"/>
          </w:tcPr>
          <w:p>
            <w:r>
              <w:rPr>
                <w:sz w:val="20"/>
              </w:rPr>
              <w:t>A bill for an act relating to the national electrical code, and including effective date provisions.(Formerly SSB 3148.)</w:t>
            </w:r>
          </w:p>
        </w:tc>
        <w:tc>
          <w:tcPr>
            <w:tcW w:w="4320" w:type="dxa"/>
            <w:shd w:val="clear" w:color="auto" w:fill="FF8080" w:themeFillTint="30"/>
            <w:noWrap w:val="false"/>
          </w:tcPr>
          <w:p>
            <w:r>
              <w:rPr>
                <w:sz w:val="20"/>
              </w:rPr>
              <w:t>Amendment S-5040 filed. (3/2/26)</w:t>
            </w:r>
          </w:p>
        </w:tc>
        <w:tc>
          <w:tcPr>
            <w:tcW w:w="4320" w:type="dxa"/>
            <w:noWrap w:val="false"/>
          </w:tcPr>
          <w:p>
            <w:pPr>
              <w:spacing w:before="0" w:after="0"/>
            </w:pPr>
            <w:r>
              <w:t/>
            </w:r>
          </w:p>
        </w:tc>
      </w:tr>
      <w:tr>
        <w:trPr>
          <w:cantSplit w:val="true"/>
        </w:trPr>
        <w:tc>
          <w:tcPr>
            <w:tcW w:w="2160" w:type="dxa"/>
            <w:noWrap w:val="false"/>
          </w:tcPr>
          <w:p>
            <w:hyperlink r:id="rId20">
              <w:r>
                <w:rPr>
                  <w:rStyle w:val="Hyperlink"/>
                  <w:color w:val="0000FF"/>
                </w:rPr>
                <w:t xml:space="preserve">SF 2439</w:t>
              </w:r>
            </w:hyperlink>
          </w:p>
        </w:tc>
        <w:tc>
          <w:tcPr>
            <w:tcW w:w="3600" w:type="dxa"/>
            <w:noWrap w:val="false"/>
          </w:tcPr>
          <w:p>
            <w:r>
              <w:rPr>
                <w:sz w:val="20"/>
              </w:rPr>
              <w:t>A bill for an act relating to fire protection sprinkler systems in certain residential properties. (Formerly SF 310, SSB 1094.)</w:t>
            </w:r>
          </w:p>
        </w:tc>
        <w:tc>
          <w:tcPr>
            <w:tcW w:w="4320" w:type="dxa"/>
            <w:shd w:val="clear" w:color="auto" w:fill="FF8080" w:themeFillTint="30"/>
            <w:noWrap w:val="false"/>
          </w:tcPr>
          <w:p>
            <w:r>
              <w:rPr>
                <w:sz w:val="20"/>
              </w:rPr>
              <w:t>Subcommittee recommends passage. (3/5/26)</w:t>
            </w:r>
          </w:p>
        </w:tc>
        <w:tc>
          <w:tcPr>
            <w:tcW w:w="4320" w:type="dxa"/>
            <w:noWrap w:val="false"/>
          </w:tcPr>
          <w:p>
            <w:pPr>
              <w:spacing w:before="0" w:after="0"/>
            </w:pPr>
            <w:r>
              <w:t/>
            </w:r>
          </w:p>
          <w:p>
            <w:pPr>
              <w:spacing w:before="0" w:after="0"/>
            </w:pPr>
            <w:r>
              <w:t>Several groups expressed opposition to the bill noting concerns with safety and human health. the subcommittee moved it forward on a vote of 2-1.</w:t>
            </w:r>
          </w:p>
          <w:p>
            <w:pPr>
              <w:spacing w:before="0" w:after="0"/>
            </w:pPr>
            <w:r>
              <w:t/>
            </w:r>
          </w:p>
        </w:tc>
      </w:tr>
      <w:tr>
        <w:trPr>
          <w:cantSplit w:val="true"/>
        </w:trPr>
        <w:tc>
          <w:tcPr>
            <w:tcW w:w="2160" w:type="dxa"/>
            <w:noWrap w:val="false"/>
          </w:tcPr>
          <w:p>
            <w:hyperlink r:id="rId21">
              <w:r>
                <w:rPr>
                  <w:rStyle w:val="Hyperlink"/>
                  <w:color w:val="0000FF"/>
                </w:rPr>
                <w:t xml:space="preserve">SF 2442</w:t>
              </w:r>
            </w:hyperlink>
          </w:p>
        </w:tc>
        <w:tc>
          <w:tcPr>
            <w:tcW w:w="3600" w:type="dxa"/>
            <w:noWrap w:val="false"/>
          </w:tcPr>
          <w:p>
            <w:r>
              <w:rPr>
                <w:sz w:val="20"/>
              </w:rPr>
              <w:t>A bill for an act relating to county zoning ordinances governing residential buildings.(Formerly SSB 3152.)</w:t>
            </w:r>
          </w:p>
        </w:tc>
        <w:tc>
          <w:tcPr>
            <w:tcW w:w="4320" w:type="dxa"/>
            <w:shd w:val="clear" w:color="auto" w:fill="FF8080" w:themeFillTint="30"/>
            <w:noWrap w:val="false"/>
          </w:tcPr>
          <w:p>
            <w:r>
              <w:rPr>
                <w:sz w:val="20"/>
              </w:rPr>
              <w:t>Read first time, referred to Local Government. (3/4/26)</w:t>
            </w:r>
          </w:p>
        </w:tc>
        <w:tc>
          <w:tcPr>
            <w:tcW w:w="4320" w:type="dxa"/>
            <w:noWrap w:val="false"/>
          </w:tcPr>
          <w:p>
            <w:pPr>
              <w:spacing w:before="0" w:after="0"/>
            </w:pPr>
            <w:r>
              <w:t/>
            </w:r>
          </w:p>
        </w:tc>
      </w:tr>
    </w:tbl>
    <w:sectPr>
      <w:headerReference w:type="default" r:id="rId2"/>
      <w:footerReference w:type="default" r:id="rId3"/>
      <w:type w:val="nextPage"/>
      <w:pgSz w:w="15840" w:h="12240" w:orient="landscape"/>
      <w:pgMar w:top="1221" w:right="720" w:bottom="720" w:left="720" w:header="432" w:footer="288" w:gutter="0"/>
      <w:pgNumType w:fmt="decimal"/>
      <w:formProt w:val="false"/>
      <w:textDirection w:val="lrTb"/>
      <w:docGrid w:type="default" w:linePitch="100" w:charSpace="0"/>
    </w:sectPr>
  </w:body>
</w:document>
</file>

<file path=word/fontTable.xml><?xml version="1.0" encoding="utf-8"?>
<w:fonts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roman"/>
    <w:pitch w:val="variable"/>
  </w:font>
  <w:font w:name="Calibri">
    <w:charset w:val="01"/>
    <w:family w:val="roman"/>
    <w:pitch w:val="variable"/>
  </w:font>
  <w:font w:name="Cambria">
    <w:charset w:val="01"/>
    <w:family w:val="roman"/>
    <w:pitch w:val="variable"/>
  </w:font>
</w:fonts>
</file>

<file path=word/footer1.xml><?xml version="1.0" encoding="utf-8"?>
<w:ftr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w:p>
    <w:pPr>
      <w:pStyle w:val="Footer"/>
      <w:spacing w:before="0" w:after="120"/>
      <w:jc w:val="center"/>
      <w:rPr/>
    </w:pPr>
    <w:r>
      <w:rPr>
        <w:rFonts w:ascii="Cambria" w:hAnsi="Cambria"/>
      </w:rPr>
      <w:t xml:space="preserve">PAGE </w:t>
    </w:r>
    <w:r>
      <w:rPr/>
      <w:fldChar w:fldCharType="begin"/>
    </w:r>
    <w:r>
      <w:rPr/>
      <w:instrText> PAGE </w:instrText>
    </w:r>
    <w:r>
      <w:rPr/>
      <w:fldChar w:fldCharType="separate"/>
    </w:r>
    <w:r>
      <w:rPr/>
      <w:t>1</w:t>
    </w:r>
    <w:r>
      <w:rPr/>
      <w:fldChar w:fldCharType="end"/>
    </w:r>
    <w:r>
      <w:rPr>
        <w:rFonts w:ascii="Cambria" w:hAnsi="Cambria"/>
        <w:sz w:val="18"/>
        <w:szCs w:val="18"/>
      </w:rPr>
      <w:t xml:space="preserve"> - </w:t>
    </w:r>
    <w:r>
      <w:rPr/>
      <w:fldChar w:fldCharType="begin"/>
    </w:r>
    <w:r>
      <w:rPr/>
      <w:instrText> DATE \@"M\/d\/yy" </w:instrText>
    </w:r>
    <w:r>
      <w:rPr/>
      <w:fldChar w:fldCharType="separate"/>
    </w:r>
    <w:r>
      <w:rPr/>
      <w:t>2/15/24</w:t>
    </w:r>
    <w:r>
      <w:rPr/>
      <w:fldChar w:fldCharType="end"/>
    </w:r>
  </w:p>
</w:ftr>
</file>

<file path=word/header1.xml><?xml version="1.0" encoding="utf-8"?>
<w:hdr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w:p>
    <w:pPr>
      <w:pStyle w:val="Header"/>
      <w:rPr/>
    </w:pPr>
    <w:r>
      <w:drawing>
        <wp:anchor distT="0" distB="0" distL="0" distR="0" simplePos="false" relativeHeight="2" behindDoc="false" locked="false" layoutInCell="false" allowOverlap="true">
          <wp:simplePos x="0" y="0"/>
          <wp:positionH relativeFrom="column">
            <wp:posOffset>-114300</wp:posOffset>
          </wp:positionH>
          <wp:positionV relativeFrom="paragraph">
            <wp:posOffset>-33020</wp:posOffset>
          </wp:positionV>
          <wp:extent cx="2038350" cy="743585"/>
          <wp:effectExtent l="0" t="0" r="0" b="0"/>
          <wp:wrapTight wrapText="bothSides">
            <wp:wrapPolygon edited="false">
              <wp:start x="-107" y="0"/>
              <wp:lineTo x="-107" y="21095"/>
              <wp:lineTo x="21436" y="21095"/>
              <wp:lineTo x="21436" y="0"/>
              <wp:lineTo x="-107" y="0"/>
            </wp:wrapPolygon>
          </wp:wrapTight>
          <wp:docPr id="1" name="Image1" descr=""/>
          <wp:cNvGraphicFramePr>
            <a:graphicFrameLocks noChangeAspect="true"/>
          </wp:cNvGraphicFramePr>
          <a:graphic>
            <a:graphicData uri="http://schemas.openxmlformats.org/drawingml/2006/picture">
              <pic:pic>
                <pic:nvPicPr>
                  <pic:cNvPr id="1" name="Image1" descr=""/>
                  <pic:cNvPicPr>
                    <a:picLocks noChangeAspect="true" noChangeArrowheads="true"/>
                  </pic:cNvPicPr>
                </pic:nvPicPr>
                <pic:blipFill>
                  <a:blip r:embed="rId1"/>
                  <a:stretch>
                    <a:fillRect/>
                  </a:stretch>
                </pic:blipFill>
                <pic:spPr bwMode="auto">
                  <a:xfrm>
                    <a:off x="0" y="0"/>
                    <a:ext cx="2038350" cy="743585"/>
                  </a:xfrm>
                  <a:prstGeom prst="rect">
                    <a:avLst/>
                  </a:prstGeom>
                </pic:spPr>
              </pic:pic>
            </a:graphicData>
          </a:graphic>
        </wp:anchor>
      </w:drawing>
    </w:r>
    <w:r>
      <w:rPr/>
      <w:t xml:space="preserve">   </w:t>
    </w:r>
  </w:p>
  <w:p>
    <w:pPr>
      <w:pStyle w:val="Header"/>
      <w:jc w:val="center"/>
      <w:rPr/>
    </w:pPr>
    <w:r>
      <w:rPr/>
      <w:t xml:space="preserve">                                                      </w:t>
    </w:r>
    <w:r>
      <w:rPr>
        <w:b/>
        <w:bCs/>
        <w:sz w:val="32"/>
        <w:szCs w:val="32"/>
      </w:rPr>
      <w:t>BLD Connection Iowa 2026 Bill Tracker</w:t>
    </w:r>
  </w:p>
  <w:p>
    <w:pPr>
      <w:pStyle w:val="Header"/>
      <w:jc w:val="center"/>
      <w:rPr>
        <w:b/>
        <w:bCs/>
        <w:sz w:val="32"/>
        <w:szCs w:val="32"/>
      </w:rPr>
    </w:pPr>
    <w:r>
      <w:rPr>
        <w:b/>
        <w:bCs/>
        <w:sz w:val="32"/>
        <w:szCs w:val="32"/>
      </w:rPr>
    </w:r>
  </w:p>
  <w:p>
    <w:pPr>
      <w:pStyle w:val="Header"/>
      <w:jc w:val="center"/>
      <w:rPr>
        <w:b/>
        <w:bCs/>
        <w:sz w:val="24"/>
        <w:szCs w:val="24"/>
      </w:rPr>
    </w:pPr>
    <w:r>
      <w:rPr>
        <w:b/>
        <w:bCs/>
        <w:sz w:val="24"/>
        <w:szCs w:val="24"/>
      </w:rPr>
    </w:r>
  </w:p>
</w:hdr>
</file>

<file path=word/settings.xml><?xml version="1.0" encoding="utf-8"?>
<w:settings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w:docDefaults>
    <w:rPrDefault>
      <w:rPr>
        <w:rFonts w:ascii="Times New Roman" w:hAnsi="Times New Roman" w:eastAsia="Arial Unicode MS" w:cs="Times New Roman"/>
        <w:lang w:val="en-US" w:eastAsia="zh-CN" w:bidi="hi-IN"/>
      </w:rPr>
    </w:rPrDefault>
    <w:pPrDefault>
      <w:pPr>
        <w:suppressAutoHyphens w:val="true"/>
      </w:pPr>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pPr>
      <w:widowControl/>
      <w:suppressAutoHyphens w:val="false"/>
      <w:bidi w:val="false"/>
      <w:spacing w:before="0" w:after="0"/>
      <w:jc w:val="left"/>
    </w:pPr>
    <w:rPr>
      <w:rFonts w:ascii="Gill Sans MT" w:hAnsi="Times New Roman" w:eastAsia="Arial Unicode MS" w:cs="Times New Roman"/>
      <w:color w:val="auto"/>
      <w:kern w:val="0"/>
      <w:sz w:val="24"/>
      <w:szCs w:val="24"/>
      <w:u w:val="none" w:color="FFFFFF"/>
      <w:lang w:val="en-US" w:eastAsia="en-US" w:bidi="ar-SA"/>
    </w:rPr>
  </w:style>
  <w:style w:type="character" w:styleId="DefaultParagraphFont" w:default="true">
    <w:name w:val="Default Paragraph Font"/>
    <w:uiPriority w:val="1"/>
    <w:semiHidden/>
    <w:unhideWhenUsed/>
    <w:qFormat/>
    <w:rPr/>
  </w:style>
  <w:style w:type="character" w:styleId="InternetLink">
    <w:name w:val="Hyperlink"/>
    <w:rPr>
      <w:rFonts w:ascii="Gill Sans MT"/>
      <w:b w:val="true"/>
      <w:color w:val="000000"/>
      <w:sz w:val="22"/>
      <w:u w:val="single" w:color="000000"/>
    </w:rPr>
  </w:style>
  <w:style w:type="paragraph" w:styleId="Heading" w:customStyle="true">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before="0" w:after="140" w:line="276" w:lineRule="auto"/>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customStyle="true">
    <w:name w:val="Index"/>
    <w:basedOn w:val="Normal"/>
    <w:qFormat/>
    <w:pPr>
      <w:suppressLineNumbers/>
    </w:pPr>
    <w:rPr>
      <w:rFonts w:cs="Arial Unicode MS"/>
    </w:rPr>
  </w:style>
  <w:style w:type="paragraph" w:styleId="Caption1">
    <w:name w:val="caption"/>
    <w:basedOn w:val="Normal"/>
    <w:qFormat/>
    <w:pPr>
      <w:suppressLineNumbers/>
      <w:spacing w:before="120" w:after="120"/>
    </w:pPr>
    <w:rPr>
      <w:rFonts w:cs="Arial Unicode MS"/>
      <w:i/>
      <w:iCs/>
    </w:rPr>
  </w:style>
  <w:style w:type="paragraph" w:styleId="Body" w:customStyle="true">
    <w:name w:val="Body"/>
    <w:qFormat/>
    <w:pPr>
      <w:widowControl/>
      <w:suppressAutoHyphens w:val="true"/>
      <w:bidi w:val="false"/>
      <w:spacing w:before="0" w:after="120" w:line="276" w:lineRule="auto"/>
      <w:jc w:val="left"/>
    </w:pPr>
    <w:rPr>
      <w:rFonts w:ascii="Calibri" w:hAnsi="Calibri" w:eastAsia="Arial Unicode MS" w:cs="Arial Unicode MS"/>
      <w:color w:val="00000A"/>
      <w:kern w:val="0"/>
      <w:sz w:val="22"/>
      <w:szCs w:val="22"/>
      <w:u w:val="none" w:color="00000A"/>
      <w:lang w:val="de-DE" w:eastAsia="zh-CN" w:bidi="hi-IN"/>
    </w:rPr>
  </w:style>
  <w:style w:type="paragraph" w:styleId="HeaderandFooter" w:customStyle="true">
    <w:name w:val="Header and Footer"/>
    <w:basedOn w:val="Normal"/>
    <w:qFormat/>
    <w:pPr/>
    <w:rPr/>
  </w:style>
  <w:style w:type="paragraph" w:styleId="Footer">
    <w:name w:val="Footer"/>
    <w:pPr>
      <w:widowControl/>
      <w:tabs>
        <w:tab w:val="clear" w:pos="720"/>
        <w:tab w:val="center" w:leader="none" w:pos="4680"/>
        <w:tab w:val="right" w:leader="none" w:pos="9360"/>
      </w:tabs>
      <w:suppressAutoHyphens w:val="true"/>
      <w:bidi w:val="false"/>
      <w:spacing w:before="0" w:after="0"/>
      <w:jc w:val="left"/>
    </w:pPr>
    <w:rPr>
      <w:rFonts w:ascii="Calibri" w:hAnsi="Calibri" w:eastAsia="Arial Unicode MS" w:cs="Arial Unicode MS"/>
      <w:color w:val="00000A"/>
      <w:kern w:val="0"/>
      <w:sz w:val="22"/>
      <w:szCs w:val="22"/>
      <w:u w:val="none" w:color="00000A"/>
      <w:lang w:val="en-US" w:eastAsia="zh-CN" w:bidi="hi-IN"/>
    </w:rPr>
  </w:style>
  <w:style w:type="paragraph" w:styleId="Header">
    <w:name w:val="Header"/>
    <w:basedOn w:val="HeaderandFooter"/>
    <w:pPr/>
    <w:rPr/>
  </w:style>
  <w:style w:type="numbering" w:styleId="NoList" w:default="true">
    <w:name w:val="No List"/>
    <w:uiPriority w:val="99"/>
    <w:semiHidden/>
    <w:unhideWhenUsed/>
    <w:qFormat/>
  </w:style>
  <w:style w:type="table" w:styleId="TableNormal" w:default="true">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Relationship Target="header1.xml" Type="http://schemas.openxmlformats.org/officeDocument/2006/relationships/header" Id="rId2"></Relationship><Relationship Target="footer1.xml" Type="http://schemas.openxmlformats.org/officeDocument/2006/relationships/footer" Id="rId3"></Relationship><Relationship Target="fontTable.xml" Type="http://schemas.openxmlformats.org/officeDocument/2006/relationships/fontTable" Id="rId4"></Relationship><Relationship Target="settings.xml" Type="http://schemas.openxmlformats.org/officeDocument/2006/relationships/settings" Id="rId5"></Relationship><Relationship Target="theme/theme1.xml" Type="http://schemas.openxmlformats.org/officeDocument/2006/relationships/theme" Id="rId6"></Relationship><Relationship TargetMode="External" Target="https://www.legis.iowa.gov/legislation/BillBook?ga=91&amp;ba=HF2390" Type="http://schemas.openxmlformats.org/officeDocument/2006/relationships/hyperlink" Id="rId7"/><Relationship TargetMode="External" Target="https://www.legis.iowa.gov/legislation/BillBook?ga=91&amp;ba=HF2745" Type="http://schemas.openxmlformats.org/officeDocument/2006/relationships/hyperlink" Id="rId8"/><Relationship TargetMode="External" Target="https://www.legis.iowa.gov/legislation/BillBook?ga=91&amp;ba=HF2772" Type="http://schemas.openxmlformats.org/officeDocument/2006/relationships/hyperlink" Id="rId9"/><Relationship TargetMode="External" Target="https://www.legis.iowa.gov/legislation/BillBook?ga=91&amp;ba=HSB324" Type="http://schemas.openxmlformats.org/officeDocument/2006/relationships/hyperlink" Id="rId10"/><Relationship TargetMode="External" Target="https://www.legis.iowa.gov/legislation/BillBook?ga=91&amp;ba=HSB563" Type="http://schemas.openxmlformats.org/officeDocument/2006/relationships/hyperlink" Id="rId11"/><Relationship TargetMode="External" Target="https://www.legis.iowa.gov/legislation/BillBook?ga=91&amp;ba=SSB3034" Type="http://schemas.openxmlformats.org/officeDocument/2006/relationships/hyperlink" Id="rId12"/><Relationship TargetMode="External" Target="https://www.legis.iowa.gov/legislation/BillBook?ga=91&amp;ba=SSB3034" Type="http://schemas.openxmlformats.org/officeDocument/2006/relationships/hyperlink" Id="rId13"/><Relationship TargetMode="External" Target="https://www.legis.iowa.gov/legislation/BillBook?ga=91&amp;ba=HSB563" Type="http://schemas.openxmlformats.org/officeDocument/2006/relationships/hyperlink" Id="rId14"/><Relationship TargetMode="External" Target="https://www.legis.iowa.gov/legislation/BillBook?ga=91&amp;ba=HF2659" Type="http://schemas.openxmlformats.org/officeDocument/2006/relationships/hyperlink" Id="rId15"/><Relationship TargetMode="External" Target="https://www.legis.iowa.gov/legislation/BillBook?ga=91&amp;ba=HSB730" Type="http://schemas.openxmlformats.org/officeDocument/2006/relationships/hyperlink" Id="rId16"/><Relationship TargetMode="External" Target="https://www.legis.iowa.gov/legislation/BillBook?ga=91&amp;ba=SF2374" Type="http://schemas.openxmlformats.org/officeDocument/2006/relationships/hyperlink" Id="rId17"/><Relationship TargetMode="External" Target="https://www.legis.iowa.gov/legislation/BillBook?ga=91&amp;ba=SF2376" Type="http://schemas.openxmlformats.org/officeDocument/2006/relationships/hyperlink" Id="rId18"/><Relationship TargetMode="External" Target="https://www.legis.iowa.gov/legislation/BillBook?ga=91&amp;ba=SF2433" Type="http://schemas.openxmlformats.org/officeDocument/2006/relationships/hyperlink" Id="rId19"/><Relationship TargetMode="External" Target="https://www.legis.iowa.gov/legislation/BillBook?ga=91&amp;ba=SF2439" Type="http://schemas.openxmlformats.org/officeDocument/2006/relationships/hyperlink" Id="rId20"/><Relationship TargetMode="External" Target="https://www.legis.iowa.gov/legislation/BillBook?ga=91&amp;ba=SF2442" Type="http://schemas.openxmlformats.org/officeDocument/2006/relationships/hyperlink" Id="rId21"/></Relationships>
</file>

<file path=word/_rels/header1.xml.rels><?xml version="1.0" encoding="UTF-8" standalone="yes"?><Relationships xmlns="http://schemas.openxmlformats.org/package/2006/relationships"><Relationship Target="media/image1.jpeg" Type="http://schemas.openxmlformats.org/officeDocument/2006/relationships/image" Id="rId1"></Relationship></Relationships>
</file>

<file path=word/theme/theme1.xml><?xml version="1.0" encoding="utf-8"?>
<a:theme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tint val="100000"/>
                <a:shade val="100000"/>
                <a:satMod val="129999"/>
              </a:schemeClr>
            </a:gs>
            <a:gs pos="100000">
              <a:schemeClr val="phClr">
                <a:tint val="50000"/>
                <a:shade val="100000"/>
                <a:satMod val="350000"/>
              </a:schemeClr>
            </a:gs>
          </a:gsLst>
          <a:lin ang="16200000" scaled="false"/>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false">
              <a:srgbClr val="000000">
                <a:alpha val="35000"/>
              </a:srgbClr>
            </a:outerShdw>
          </a:effectLst>
        </a:effectStyle>
        <a:effectStyle>
          <a:effectLst>
            <a:outerShdw blurRad="38100" dist="23000" dir="5400000" rotWithShape="false">
              <a:srgbClr val="000000">
                <a:alpha val="35000"/>
              </a:srgbClr>
            </a:outerShdw>
          </a:effectLst>
        </a:effectStyle>
        <a:effectStyle>
          <a:effectLst>
            <a:outerShdw blurRad="38100" dist="20000" dir="5400000" rotWithShape="false">
              <a:srgbClr val="000000">
                <a:alpha val="38000"/>
              </a:srgbClr>
            </a:outerShdw>
          </a:effectLst>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false">
            <a:srgbClr val="000000">
              <a:alpha val="35000"/>
            </a:srgbClr>
          </a:outerShdw>
        </a:effectLst>
        <a:sp3d/>
      </a:spPr>
      <a:bodyPr rot="0" spcFirstLastPara="true" vertOverflow="overflow" horzOverflow="overflow" vert="horz" wrap="square" lIns="45719" tIns="45719" rIns="45719" bIns="45719" numCol="1" spcCol="38100" rtlCol="false" anchor="ctr">
        <a:spAutoFit/>
      </a:bodyPr>
      <a:lstStyle>
        <a:defPPr marL="0" marR="0" indent="0" algn="l" defTabSz="914400" rtl="false" fontAlgn="auto" latinLnBrk="fals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latin typeface="Calibri"/>
            <a:ea typeface="Calibri"/>
            <a:cs typeface="Calibri"/>
            <a:sym typeface="Calibri"/>
          </a:defRPr>
        </a:defPPr>
        <a:lvl1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1pPr>
        <a:lvl2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2pPr>
        <a:lvl3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3pPr>
        <a:lvl4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4pPr>
        <a:lvl5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5pPr>
        <a:lvl6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6pPr>
        <a:lvl7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7pPr>
        <a:lvl8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8pPr>
        <a:lvl9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false">
            <a:srgbClr val="000000">
              <a:alpha val="38000"/>
            </a:srgbClr>
          </a:outerShdw>
        </a:effectLst>
        <a:sp3d/>
      </a:spPr>
      <a:bodyPr rot="0" spcFirstLastPara="true" vertOverflow="overflow" horzOverflow="overflow" vert="horz" wrap="square" lIns="91439" tIns="45719" rIns="91439" bIns="45719" numCol="1" spcCol="38100" rtlCol="false" anchor="t">
        <a:noAutofit/>
      </a:bodyPr>
      <a:lstStyle>
        <a:def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defPPr>
        <a:lvl1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1pPr>
        <a:lvl2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2pPr>
        <a:lvl3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3pPr>
        <a:lvl4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4pPr>
        <a:lvl5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5pPr>
        <a:lvl6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6pPr>
        <a:lvl7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7pPr>
        <a:lvl8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8pPr>
        <a:lvl9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true" vertOverflow="overflow" horzOverflow="overflow" vert="horz" wrap="square" lIns="45719" tIns="45719" rIns="45719" bIns="45719" numCol="1" spcCol="38100" rtlCol="false" anchor="t">
        <a:spAutoFit/>
      </a:bodyPr>
      <a:lstStyle>
        <a:defPPr marL="0" marR="0" indent="0" algn="l" defTabSz="914400" rtl="false" fontAlgn="auto" latinLnBrk="fals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latin typeface="Calibri"/>
            <a:ea typeface="Calibri"/>
            <a:cs typeface="Calibri"/>
            <a:sym typeface="Calibri"/>
          </a:defRPr>
        </a:defPPr>
        <a:lvl1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1pPr>
        <a:lvl2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2pPr>
        <a:lvl3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3pPr>
        <a:lvl4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4pPr>
        <a:lvl5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5pPr>
        <a:lvl6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6pPr>
        <a:lvl7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7pPr>
        <a:lvl8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8pPr>
        <a:lvl9pPr marL="0" marR="0" indent="0" algn="l" defTabSz="914400" rtl="false" fontAlgn="auto" latinLnBrk="true" hangingPunct="false">
          <a:lnSpc>
            <a:spcPct val="100000"/>
          </a:lnSpc>
          <a:spcBef>
            <a:spcPts val="0"/>
          </a:spcBef>
          <a:spcAft>
            <a:spcPts val="0"/>
          </a:spcAft>
          <a:buClrTx/>
          <a:buSzTx/>
          <a:buFontTx/>
          <a:buNone/>
          <a:tabLst/>
          <a:defRPr kumimoji="false" sz="1800" b="false" i="false" u="none" strike="noStrike" cap="none" spc="0" normalizeH="false"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Properties xmlns:properties="http://schemas.openxmlformats.org/officeDocument/2006/extended-properties" xmlns:vt="http://schemas.openxmlformats.org/officeDocument/2006/docPropsVTypes">
  <properties:Template>Normal.dotm</properties:Template>
  <properties:Pages>1</properties:Pages>
  <properties:Words>5</properties:Words>
  <properties:Characters>19</properties:Characters>
  <properties:Paragraphs>3</properties:Paragraphs>
  <properties:TotalTime>203</properties:TotalTime>
  <properties:CharactersWithSpaces>79</properties:CharactersWithSpaces>
  <properties:Application>docx4j</properties:Application>
  <properties:AppVersion>2.7</properties:AppVersion>
</properties:Properties>
</file>

<file path=docProps/core.xml><?xml version="1.0" encoding="utf-8"?>
<cp:coreProperties xmlns:cp="http://schemas.openxmlformats.org/package/2006/metadata/core-properties" xmlns:dcterms="http://purl.org/dc/terms/" xmlns:dc="http://purl.org/dc/elements/1.1/">
  <dcterms:created xmlns:xsi="http://www.w3.org/2001/XMLSchema-instance" xsi:type="dcterms:W3CDTF">2023-11-21T15:17:00Z</dcterms:created>
  <dc:creator>Nick Laning</dc:creator>
  <dc:description/>
  <dc:language>en-US</dc:language>
  <cp:lastModifiedBy>docx4j</cp:lastModifiedBy>
  <dcterms:modified xmlns:xsi="http://www.w3.org/2001/XMLSchema-instance" xsi:type="dcterms:W3CDTF">2024-02-15T13:39:37Z</dcterms:modified>
  <cp:revision>11</cp:revision>
  <dc:subject/>
  <dc:title/>
</cp:coreProperties>
</file>

<file path=docProps/custom.xml><?xml version="1.0" encoding="utf-8"?>
<prop:Properties xmlns:vt="http://schemas.openxmlformats.org/officeDocument/2006/docPropsVTypes" xmlns:prop="http://schemas.openxmlformats.org/officeDocument/2006/custom-properties"/>
</file>